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方正小标宋简体" w:hAnsi="方正小标宋简体" w:eastAsia="方正小标宋简体" w:cs="方正小标宋简体"/>
          <w:sz w:val="52"/>
          <w:szCs w:val="52"/>
        </w:rPr>
      </w:pPr>
    </w:p>
    <w:p>
      <w:pPr>
        <w:jc w:val="center"/>
        <w:rPr>
          <w:rFonts w:hint="eastAsia" w:ascii="方正小标宋简体" w:hAnsi="方正小标宋简体" w:eastAsia="方正小标宋简体" w:cs="方正小标宋简体"/>
          <w:sz w:val="52"/>
          <w:szCs w:val="52"/>
        </w:rPr>
      </w:pPr>
      <w:r>
        <w:rPr>
          <w:rFonts w:hint="eastAsia" w:ascii="方正小标宋简体" w:hAnsi="方正小标宋简体" w:eastAsia="方正小标宋简体" w:cs="方正小标宋简体"/>
          <w:sz w:val="52"/>
          <w:szCs w:val="52"/>
        </w:rPr>
        <w:t>以科技创新推动高质量发展</w:t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52"/>
          <w:szCs w:val="52"/>
        </w:rPr>
      </w:pPr>
      <w:r>
        <w:rPr>
          <w:rFonts w:hint="eastAsia" w:ascii="方正小标宋简体" w:hAnsi="方正小标宋简体" w:eastAsia="方正小标宋简体" w:cs="方正小标宋简体"/>
          <w:sz w:val="52"/>
          <w:szCs w:val="52"/>
        </w:rPr>
        <w:t>探索全面建成小康社会新路径</w:t>
      </w:r>
    </w:p>
    <w:p>
      <w:pPr>
        <w:pStyle w:val="2"/>
        <w:ind w:firstLine="0" w:firstLineChars="0"/>
        <w:jc w:val="center"/>
        <w:rPr>
          <w:rFonts w:hint="eastAsia" w:ascii="楷体" w:hAnsi="楷体" w:eastAsia="楷体" w:cs="楷体"/>
          <w:b/>
          <w:sz w:val="40"/>
          <w:szCs w:val="40"/>
        </w:rPr>
      </w:pPr>
      <w:r>
        <w:rPr>
          <w:rFonts w:hint="eastAsia" w:ascii="楷体" w:hAnsi="楷体" w:eastAsia="楷体" w:cs="楷体"/>
          <w:b/>
          <w:sz w:val="40"/>
          <w:szCs w:val="40"/>
        </w:rPr>
        <w:t>——广东省深圳市南山区推进全面建成小康社会</w:t>
      </w:r>
    </w:p>
    <w:p>
      <w:pPr>
        <w:pStyle w:val="2"/>
        <w:ind w:firstLine="0" w:firstLineChars="0"/>
        <w:jc w:val="center"/>
        <w:rPr>
          <w:rFonts w:hint="eastAsia" w:ascii="楷体" w:hAnsi="楷体" w:eastAsia="楷体" w:cs="楷体"/>
          <w:b/>
          <w:sz w:val="40"/>
          <w:szCs w:val="40"/>
        </w:rPr>
      </w:pPr>
      <w:r>
        <w:rPr>
          <w:rFonts w:hint="eastAsia" w:ascii="楷体" w:hAnsi="楷体" w:eastAsia="楷体" w:cs="楷体"/>
          <w:b/>
          <w:sz w:val="40"/>
          <w:szCs w:val="40"/>
        </w:rPr>
        <w:t>调研报告</w:t>
      </w:r>
    </w:p>
    <w:p>
      <w:pPr>
        <w:snapToGrid w:val="0"/>
        <w:spacing w:line="560" w:lineRule="exact"/>
        <w:rPr>
          <w:rFonts w:ascii="仿宋" w:hAnsi="仿宋" w:eastAsia="仿宋"/>
          <w:kern w:val="0"/>
          <w:sz w:val="32"/>
          <w:szCs w:val="32"/>
        </w:rPr>
      </w:pPr>
    </w:p>
    <w:p>
      <w:pPr>
        <w:snapToGrid w:val="0"/>
        <w:spacing w:line="560" w:lineRule="exact"/>
        <w:ind w:firstLine="640" w:firstLineChars="200"/>
        <w:rPr>
          <w:rFonts w:ascii="仿宋_GB2312" w:hAnsi="仿宋" w:eastAsia="仿宋_GB2312"/>
          <w:kern w:val="0"/>
          <w:sz w:val="32"/>
          <w:szCs w:val="32"/>
        </w:rPr>
      </w:pPr>
    </w:p>
    <w:p>
      <w:pPr>
        <w:snapToGrid w:val="0"/>
        <w:spacing w:line="560" w:lineRule="exact"/>
        <w:ind w:firstLine="640" w:firstLineChars="200"/>
        <w:rPr>
          <w:rFonts w:ascii="仿宋_GB2312" w:hAnsi="仿宋" w:eastAsia="仿宋_GB2312"/>
          <w:kern w:val="0"/>
          <w:sz w:val="32"/>
          <w:szCs w:val="32"/>
        </w:rPr>
      </w:pPr>
    </w:p>
    <w:p>
      <w:pPr>
        <w:snapToGrid w:val="0"/>
        <w:spacing w:line="560" w:lineRule="exact"/>
        <w:ind w:firstLine="640" w:firstLineChars="200"/>
        <w:rPr>
          <w:rFonts w:ascii="仿宋_GB2312" w:hAnsi="仿宋" w:eastAsia="仿宋_GB2312"/>
          <w:kern w:val="0"/>
          <w:sz w:val="32"/>
          <w:szCs w:val="32"/>
        </w:rPr>
      </w:pPr>
    </w:p>
    <w:p>
      <w:pPr>
        <w:snapToGrid w:val="0"/>
        <w:spacing w:line="560" w:lineRule="exact"/>
        <w:ind w:firstLine="640" w:firstLineChars="200"/>
        <w:rPr>
          <w:rFonts w:ascii="仿宋_GB2312" w:hAnsi="仿宋" w:eastAsia="仿宋_GB2312"/>
          <w:kern w:val="0"/>
          <w:sz w:val="32"/>
          <w:szCs w:val="32"/>
        </w:rPr>
      </w:pPr>
    </w:p>
    <w:p>
      <w:pPr>
        <w:pStyle w:val="2"/>
        <w:rPr>
          <w:rFonts w:ascii="仿宋_GB2312" w:hAnsi="仿宋" w:eastAsia="仿宋_GB2312"/>
          <w:kern w:val="0"/>
          <w:sz w:val="32"/>
          <w:szCs w:val="32"/>
        </w:rPr>
      </w:pPr>
    </w:p>
    <w:p>
      <w:pPr>
        <w:pStyle w:val="2"/>
        <w:rPr>
          <w:rFonts w:ascii="仿宋_GB2312" w:hAnsi="仿宋" w:eastAsia="仿宋_GB2312"/>
          <w:kern w:val="0"/>
          <w:sz w:val="32"/>
          <w:szCs w:val="32"/>
        </w:rPr>
      </w:pPr>
    </w:p>
    <w:p>
      <w:pPr>
        <w:pStyle w:val="2"/>
        <w:rPr>
          <w:rFonts w:ascii="仿宋_GB2312" w:hAnsi="仿宋" w:eastAsia="仿宋_GB2312"/>
          <w:kern w:val="0"/>
          <w:sz w:val="32"/>
          <w:szCs w:val="32"/>
        </w:rPr>
      </w:pPr>
    </w:p>
    <w:p>
      <w:pPr>
        <w:pStyle w:val="2"/>
        <w:rPr>
          <w:rFonts w:ascii="仿宋_GB2312" w:hAnsi="仿宋" w:eastAsia="仿宋_GB2312"/>
          <w:kern w:val="0"/>
          <w:sz w:val="32"/>
          <w:szCs w:val="32"/>
        </w:rPr>
      </w:pPr>
    </w:p>
    <w:p>
      <w:pPr>
        <w:pStyle w:val="2"/>
        <w:rPr>
          <w:rFonts w:ascii="仿宋_GB2312" w:hAnsi="仿宋" w:eastAsia="仿宋_GB2312"/>
          <w:kern w:val="0"/>
          <w:sz w:val="32"/>
          <w:szCs w:val="32"/>
        </w:rPr>
      </w:pPr>
    </w:p>
    <w:p>
      <w:pPr>
        <w:snapToGrid w:val="0"/>
        <w:spacing w:line="560" w:lineRule="exact"/>
        <w:ind w:firstLine="640" w:firstLineChars="200"/>
        <w:rPr>
          <w:rFonts w:ascii="仿宋_GB2312" w:hAnsi="仿宋" w:eastAsia="仿宋_GB2312"/>
          <w:kern w:val="0"/>
          <w:sz w:val="32"/>
          <w:szCs w:val="32"/>
        </w:rPr>
      </w:pPr>
    </w:p>
    <w:p>
      <w:pPr>
        <w:snapToGrid w:val="0"/>
        <w:spacing w:line="560" w:lineRule="exact"/>
        <w:ind w:firstLine="640" w:firstLineChars="200"/>
        <w:rPr>
          <w:rFonts w:ascii="仿宋_GB2312" w:hAnsi="仿宋" w:eastAsia="仿宋_GB2312"/>
          <w:kern w:val="0"/>
          <w:sz w:val="32"/>
          <w:szCs w:val="32"/>
        </w:rPr>
      </w:pPr>
    </w:p>
    <w:p>
      <w:pPr>
        <w:snapToGrid w:val="0"/>
        <w:spacing w:line="560" w:lineRule="exact"/>
        <w:jc w:val="center"/>
        <w:rPr>
          <w:rFonts w:hint="eastAsia" w:ascii="楷体" w:hAnsi="楷体" w:eastAsia="楷体" w:cs="楷体"/>
          <w:kern w:val="0"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kern w:val="0"/>
          <w:sz w:val="32"/>
          <w:szCs w:val="32"/>
          <w:lang w:eastAsia="zh-CN"/>
        </w:rPr>
        <w:t>中共深圳市委宣传部</w:t>
      </w:r>
    </w:p>
    <w:p>
      <w:pPr>
        <w:pStyle w:val="2"/>
        <w:ind w:firstLine="0" w:firstLineChars="0"/>
        <w:jc w:val="center"/>
        <w:rPr>
          <w:rFonts w:hint="eastAsia" w:ascii="楷体" w:hAnsi="楷体" w:eastAsia="楷体"/>
          <w:kern w:val="24"/>
          <w:sz w:val="32"/>
          <w:szCs w:val="32"/>
        </w:rPr>
      </w:pPr>
      <w:r>
        <w:rPr>
          <w:rFonts w:ascii="Times New Roman" w:hAnsi="Times New Roman" w:eastAsia="楷体"/>
          <w:kern w:val="24"/>
          <w:sz w:val="32"/>
          <w:szCs w:val="32"/>
        </w:rPr>
        <w:t>2020</w:t>
      </w:r>
      <w:r>
        <w:rPr>
          <w:rFonts w:hint="eastAsia" w:ascii="楷体" w:hAnsi="楷体" w:eastAsia="楷体"/>
          <w:kern w:val="24"/>
          <w:sz w:val="32"/>
          <w:szCs w:val="32"/>
        </w:rPr>
        <w:t>年</w:t>
      </w:r>
      <w:r>
        <w:rPr>
          <w:rFonts w:ascii="Times New Roman" w:hAnsi="Times New Roman" w:eastAsia="楷体"/>
          <w:kern w:val="24"/>
          <w:sz w:val="32"/>
          <w:szCs w:val="32"/>
        </w:rPr>
        <w:t>8</w:t>
      </w:r>
      <w:r>
        <w:rPr>
          <w:rFonts w:hint="eastAsia" w:ascii="楷体" w:hAnsi="楷体" w:eastAsia="楷体"/>
          <w:kern w:val="24"/>
          <w:sz w:val="32"/>
          <w:szCs w:val="32"/>
        </w:rPr>
        <w:t>月</w:t>
      </w:r>
    </w:p>
    <w:p>
      <w:pPr>
        <w:pStyle w:val="2"/>
        <w:ind w:firstLine="640"/>
        <w:jc w:val="center"/>
        <w:rPr>
          <w:rFonts w:hint="eastAsia" w:ascii="楷体" w:hAnsi="楷体" w:eastAsia="楷体"/>
          <w:kern w:val="24"/>
          <w:sz w:val="32"/>
          <w:szCs w:val="32"/>
        </w:rPr>
        <w:sectPr>
          <w:pgSz w:w="11906" w:h="16838"/>
          <w:pgMar w:top="2098" w:right="1474" w:bottom="1417" w:left="1587" w:header="851" w:footer="992" w:gutter="0"/>
          <w:cols w:space="720" w:num="1"/>
          <w:docGrid w:type="lines" w:linePitch="312" w:charSpace="0"/>
        </w:sectPr>
      </w:pPr>
    </w:p>
    <w:p>
      <w:pPr>
        <w:snapToGrid w:val="0"/>
        <w:spacing w:line="560" w:lineRule="exact"/>
        <w:ind w:firstLine="640" w:firstLineChars="200"/>
        <w:rPr>
          <w:rFonts w:ascii="仿宋_GB2312" w:hAnsi="仿宋" w:eastAsia="仿宋_GB2312"/>
          <w:kern w:val="0"/>
          <w:sz w:val="32"/>
          <w:szCs w:val="32"/>
        </w:rPr>
      </w:pPr>
    </w:p>
    <w:p>
      <w:pPr>
        <w:snapToGrid w:val="0"/>
        <w:spacing w:line="560" w:lineRule="exact"/>
        <w:ind w:firstLine="640" w:firstLineChars="200"/>
        <w:rPr>
          <w:rFonts w:ascii="仿宋_GB2312" w:hAnsi="仿宋" w:eastAsia="仿宋_GB2312"/>
          <w:kern w:val="0"/>
          <w:sz w:val="32"/>
          <w:szCs w:val="32"/>
        </w:rPr>
      </w:pPr>
      <w:r>
        <w:rPr>
          <w:rFonts w:ascii="仿宋_GB2312" w:hAnsi="仿宋" w:eastAsia="仿宋_GB2312"/>
          <w:kern w:val="0"/>
          <w:sz w:val="32"/>
          <w:szCs w:val="32"/>
        </w:rPr>
        <w:t>2020年是具有里程碑意义的一年</w:t>
      </w:r>
      <w:r>
        <w:rPr>
          <w:rFonts w:hint="eastAsia" w:ascii="仿宋_GB2312" w:hAnsi="仿宋" w:eastAsia="仿宋_GB2312"/>
          <w:kern w:val="0"/>
          <w:sz w:val="32"/>
          <w:szCs w:val="32"/>
        </w:rPr>
        <w:t>，</w:t>
      </w:r>
      <w:r>
        <w:rPr>
          <w:rFonts w:ascii="仿宋_GB2312" w:hAnsi="仿宋" w:eastAsia="仿宋_GB2312"/>
          <w:kern w:val="0"/>
          <w:sz w:val="32"/>
          <w:szCs w:val="32"/>
        </w:rPr>
        <w:t>我</w:t>
      </w:r>
      <w:r>
        <w:rPr>
          <w:rFonts w:hint="eastAsia" w:ascii="仿宋_GB2312" w:hAnsi="仿宋" w:eastAsia="仿宋_GB2312"/>
          <w:kern w:val="0"/>
          <w:sz w:val="32"/>
          <w:szCs w:val="32"/>
        </w:rPr>
        <w:t>国</w:t>
      </w:r>
      <w:r>
        <w:rPr>
          <w:rFonts w:ascii="仿宋_GB2312" w:hAnsi="仿宋" w:eastAsia="仿宋_GB2312"/>
          <w:kern w:val="0"/>
          <w:sz w:val="32"/>
          <w:szCs w:val="32"/>
        </w:rPr>
        <w:t>将全面建成小康社会,实现第一个百年奋斗目标。</w:t>
      </w:r>
      <w:r>
        <w:rPr>
          <w:rFonts w:hint="eastAsia" w:ascii="仿宋_GB2312" w:hAnsi="仿宋" w:eastAsia="仿宋_GB2312"/>
          <w:kern w:val="0"/>
          <w:sz w:val="32"/>
          <w:szCs w:val="32"/>
        </w:rPr>
        <w:t>全面建成小康社会道路有千条万条，深圳市南山区始终高举中国特色社会主义伟大旗帜，坚持以习近平新时代中国特色社会主义思想为指导，全面加强党的领导，将科技创新作为“发力点”，推动经济社会高质量发展，闯出了一条全面建成小康社会的“科技创新之路”。</w:t>
      </w:r>
    </w:p>
    <w:p>
      <w:pPr>
        <w:snapToGrid w:val="0"/>
        <w:spacing w:line="560" w:lineRule="exact"/>
        <w:ind w:firstLine="640" w:firstLineChars="200"/>
        <w:rPr>
          <w:rFonts w:ascii="仿宋_GB2312" w:hAnsi="仿宋" w:eastAsia="仿宋_GB2312"/>
          <w:kern w:val="0"/>
          <w:sz w:val="32"/>
          <w:szCs w:val="32"/>
        </w:rPr>
      </w:pPr>
      <w:r>
        <w:rPr>
          <w:rFonts w:hint="eastAsia" w:ascii="仿宋_GB2312" w:hAnsi="仿宋" w:eastAsia="仿宋_GB2312"/>
          <w:kern w:val="0"/>
          <w:sz w:val="32"/>
          <w:szCs w:val="32"/>
        </w:rPr>
        <w:t>全国科技创新看深圳，深圳科技创新看南山。南山区地处粤港澳大湾区黄金入海口，与香港、澳门隔海相望。1990年1月4日，经国务院批准，深圳市南头管理区和蛇口管理局合并成立南山区，陆域面积187.5平方公里，是中国改革开放发源地和先锋区，也是国内外知名的高新技术产业的集聚区。科技创新赋予了南山区高质量发展强大动能。2019年，南山区GDP总量为</w:t>
      </w:r>
      <w:r>
        <w:rPr>
          <w:rFonts w:ascii="仿宋_GB2312" w:hAnsi="仿宋" w:eastAsia="仿宋_GB2312"/>
          <w:kern w:val="0"/>
          <w:sz w:val="32"/>
          <w:szCs w:val="32"/>
        </w:rPr>
        <w:t>6103亿元，连续7年位列全国区（县）第三、广东区（县）第一；人均GDP达到40.16万元，折合5.82万美元，</w:t>
      </w:r>
      <w:r>
        <w:rPr>
          <w:rFonts w:hint="eastAsia" w:ascii="仿宋_GB2312" w:hAnsi="仿宋" w:eastAsia="仿宋_GB2312"/>
          <w:kern w:val="0"/>
          <w:sz w:val="32"/>
          <w:szCs w:val="32"/>
        </w:rPr>
        <w:t>发展质量位居全国前列。产业价值链向高端迈进，经济增量以新兴产业为主，对</w:t>
      </w:r>
      <w:r>
        <w:rPr>
          <w:rFonts w:ascii="仿宋_GB2312" w:hAnsi="仿宋" w:eastAsia="仿宋_GB2312"/>
          <w:kern w:val="0"/>
          <w:sz w:val="32"/>
          <w:szCs w:val="32"/>
        </w:rPr>
        <w:t>GDP增长贡献率超过50%；工业以先进制造业为主，占工业比重超过70%；第三产业以现代服务业为主，占第三产业比重达84%。</w:t>
      </w:r>
      <w:r>
        <w:rPr>
          <w:rFonts w:hint="eastAsia" w:ascii="仿宋_GB2312" w:hAnsi="仿宋" w:eastAsia="仿宋_GB2312"/>
          <w:kern w:val="0"/>
          <w:sz w:val="32"/>
          <w:szCs w:val="32"/>
        </w:rPr>
        <w:t>区内培育国家级高新技术企业超</w:t>
      </w:r>
      <w:r>
        <w:rPr>
          <w:rFonts w:ascii="仿宋_GB2312" w:hAnsi="仿宋" w:eastAsia="仿宋_GB2312"/>
          <w:kern w:val="0"/>
          <w:sz w:val="32"/>
          <w:szCs w:val="32"/>
        </w:rPr>
        <w:t>4000家，国内外上市企业174家，每万人发明专利拥有量397件，是全国的3.7倍；PCT国际专利申请量占全国的12.9%；全社会研发投入占GDP比重达5.87%</w:t>
      </w:r>
      <w:r>
        <w:rPr>
          <w:rFonts w:hint="eastAsia" w:ascii="仿宋_GB2312" w:hAnsi="仿宋" w:eastAsia="仿宋_GB2312"/>
          <w:kern w:val="0"/>
          <w:sz w:val="32"/>
          <w:szCs w:val="32"/>
        </w:rPr>
        <w:t>。</w:t>
      </w:r>
      <w:r>
        <w:rPr>
          <w:rFonts w:ascii="仿宋_GB2312" w:hAnsi="仿宋" w:eastAsia="仿宋_GB2312"/>
          <w:kern w:val="0"/>
          <w:sz w:val="32"/>
          <w:szCs w:val="32"/>
        </w:rPr>
        <w:t>“创新南山”</w:t>
      </w:r>
      <w:r>
        <w:rPr>
          <w:rFonts w:hint="eastAsia" w:ascii="仿宋_GB2312" w:hAnsi="仿宋" w:eastAsia="仿宋_GB2312"/>
          <w:kern w:val="0"/>
          <w:sz w:val="32"/>
          <w:szCs w:val="32"/>
        </w:rPr>
        <w:t>成为习近平新时代中国特色社会主义经济思想的鲜活样板，为全国、全省决胜全面建成小康社会贡献了“南山智慧”和“南山方案”。</w:t>
      </w:r>
    </w:p>
    <w:p>
      <w:pPr>
        <w:snapToGrid w:val="0"/>
        <w:spacing w:line="560" w:lineRule="exact"/>
        <w:ind w:firstLine="640" w:firstLineChars="200"/>
        <w:rPr>
          <w:rFonts w:ascii="仿宋_GB2312" w:hAnsi="仿宋" w:eastAsia="仿宋_GB2312"/>
          <w:kern w:val="0"/>
          <w:sz w:val="32"/>
          <w:szCs w:val="32"/>
        </w:rPr>
      </w:pPr>
      <w:r>
        <w:rPr>
          <w:rFonts w:hint="eastAsia" w:ascii="仿宋_GB2312" w:hAnsi="仿宋" w:eastAsia="仿宋_GB2312"/>
          <w:kern w:val="0"/>
          <w:sz w:val="32"/>
          <w:szCs w:val="32"/>
        </w:rPr>
        <w:t>通过深入调研，我们发现南山区坚持把创新作为全面建成小康社会的主导战略，以产业创新牵引科技创新，以科技创新推动产业创新，着力打造新时代高质量发展的科技创新引擎，为全国全省加快全面建成小康社会作出了重要的探索和实践。</w:t>
      </w:r>
    </w:p>
    <w:p>
      <w:pPr>
        <w:snapToGrid w:val="0"/>
        <w:spacing w:line="560" w:lineRule="exact"/>
        <w:ind w:firstLine="640" w:firstLineChars="200"/>
        <w:rPr>
          <w:rFonts w:ascii="黑体" w:hAnsi="黑体" w:eastAsia="黑体" w:cs="仿宋_GB2312"/>
          <w:sz w:val="32"/>
          <w:szCs w:val="32"/>
        </w:rPr>
      </w:pPr>
      <w:r>
        <w:rPr>
          <w:rFonts w:hint="eastAsia" w:ascii="黑体" w:hAnsi="黑体" w:eastAsia="黑体" w:cs="仿宋_GB2312"/>
          <w:sz w:val="32"/>
          <w:szCs w:val="32"/>
        </w:rPr>
        <w:t>一、注重企业技术创新，激发创新主体“动力”，闯出一条“创新驱动”之路</w:t>
      </w:r>
    </w:p>
    <w:p>
      <w:pPr>
        <w:snapToGrid w:val="0"/>
        <w:spacing w:line="560" w:lineRule="exact"/>
        <w:ind w:firstLine="640" w:firstLineChars="200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南山区充分发挥市场的决定性作用和政府的引导作用，建立以企业为主体、市场为导向、产学研用深度融合的技术创新体系。</w:t>
      </w:r>
    </w:p>
    <w:p>
      <w:pPr>
        <w:snapToGrid w:val="0"/>
        <w:spacing w:line="560" w:lineRule="exact"/>
        <w:ind w:firstLine="643" w:firstLineChars="200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sz w:val="32"/>
          <w:szCs w:val="32"/>
        </w:rPr>
        <w:t>紧扣国家科技发展战略，促进科技创新与产业集聚深度融合。</w:t>
      </w:r>
      <w:r>
        <w:rPr>
          <w:rFonts w:hint="eastAsia" w:ascii="仿宋_GB2312" w:hAnsi="仿宋_GB2312" w:eastAsia="仿宋_GB2312" w:cs="仿宋_GB2312"/>
          <w:sz w:val="32"/>
          <w:szCs w:val="32"/>
        </w:rPr>
        <w:t>南山区先后引导布局了新一代信息技术、高端装备制造、绿色低碳、生物医药、数字经济、新材料、海洋经济等战略性新兴产业，规划了西丽湖科教城、深圳湾超级总部基地、留仙洞战略性新兴产业基地、高新北等产业集聚区和</w:t>
      </w:r>
      <w:r>
        <w:rPr>
          <w:rFonts w:ascii="仿宋_GB2312" w:hAnsi="仿宋_GB2312" w:eastAsia="仿宋_GB2312" w:cs="仿宋_GB2312"/>
          <w:sz w:val="32"/>
          <w:szCs w:val="32"/>
        </w:rPr>
        <w:t>46个专业产业园区，形成了以中兴、腾讯等重点骨干企业为核心的新一代信息技术、数字经济千亿级产业集群，以迈瑞医疗、大族激光、中集海工等行业领军企业为主力的高端装备百亿级产业集群，以大疆、优必选、奥比中光等高成长企业为支撑的新兴产业集群。</w:t>
      </w:r>
    </w:p>
    <w:p>
      <w:pPr>
        <w:snapToGrid w:val="0"/>
        <w:spacing w:line="560" w:lineRule="exact"/>
        <w:ind w:firstLine="643" w:firstLineChars="200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sz w:val="32"/>
          <w:szCs w:val="32"/>
        </w:rPr>
        <w:t>深化企业导向的技术创新体制改革，引导各类创新资源要素向企业集聚。</w:t>
      </w:r>
      <w:r>
        <w:rPr>
          <w:rFonts w:hint="eastAsia" w:ascii="仿宋_GB2312" w:hAnsi="仿宋_GB2312" w:eastAsia="仿宋_GB2312" w:cs="仿宋_GB2312"/>
          <w:sz w:val="32"/>
        </w:rPr>
        <w:t>南山区大力实施企业导向的技术创新支持计划，坚持需求导向、分门别类、精准扶持，促进企业成为技术创新决策、研发投入、科研组织和成果转化的主体。</w:t>
      </w:r>
      <w:r>
        <w:rPr>
          <w:rFonts w:hint="eastAsia" w:ascii="仿宋_GB2312" w:hAnsi="仿宋_GB2312" w:eastAsia="仿宋_GB2312" w:cs="仿宋_GB2312"/>
          <w:b/>
          <w:sz w:val="32"/>
        </w:rPr>
        <w:t>比如，</w:t>
      </w:r>
      <w:r>
        <w:rPr>
          <w:rFonts w:hint="eastAsia" w:ascii="仿宋_GB2312" w:hAnsi="仿宋_GB2312" w:eastAsia="仿宋_GB2312" w:cs="仿宋_GB2312"/>
          <w:sz w:val="32"/>
        </w:rPr>
        <w:t>南山区</w:t>
      </w:r>
      <w:r>
        <w:rPr>
          <w:rFonts w:hint="eastAsia" w:ascii="仿宋_GB2312" w:hAnsi="仿宋_GB2312" w:eastAsia="仿宋_GB2312" w:cs="仿宋_GB2312"/>
          <w:sz w:val="32"/>
          <w:szCs w:val="32"/>
        </w:rPr>
        <w:t>实施企业研发投入支持计划，</w:t>
      </w:r>
      <w:r>
        <w:rPr>
          <w:rFonts w:hint="eastAsia" w:ascii="仿宋_GB2312" w:hAnsi="仿宋_GB2312" w:eastAsia="仿宋_GB2312" w:cs="仿宋_GB2312"/>
          <w:sz w:val="32"/>
        </w:rPr>
        <w:t>帮助企业降低成本，</w:t>
      </w:r>
      <w:r>
        <w:rPr>
          <w:rFonts w:ascii="仿宋" w:hAnsi="仿宋" w:eastAsia="仿宋"/>
          <w:kern w:val="0"/>
          <w:sz w:val="32"/>
          <w:szCs w:val="32"/>
        </w:rPr>
        <w:t>2019年科技创新资金增加到7亿元，全年资助项目3244个，受资助企业近2500家。</w:t>
      </w:r>
      <w:r>
        <w:rPr>
          <w:rFonts w:hint="eastAsia" w:ascii="仿宋_GB2312" w:hAnsi="仿宋_GB2312" w:eastAsia="仿宋_GB2312" w:cs="仿宋_GB2312"/>
          <w:b/>
          <w:sz w:val="32"/>
          <w:szCs w:val="32"/>
        </w:rPr>
        <w:t>又如，</w:t>
      </w:r>
      <w:r>
        <w:rPr>
          <w:rFonts w:hint="eastAsia" w:ascii="仿宋_GB2312" w:hAnsi="仿宋_GB2312" w:eastAsia="仿宋_GB2312" w:cs="仿宋_GB2312"/>
          <w:sz w:val="32"/>
          <w:szCs w:val="32"/>
        </w:rPr>
        <w:t>支持区内企事业单位承担建设国家重点实验室、企业技术中心等创新载体，支持区内龙头企业承担国家重点研发计划、国家重大科技专项项目，联合高校和科研机构实施高新技术攻关。</w:t>
      </w:r>
      <w:r>
        <w:rPr>
          <w:rFonts w:hint="eastAsia" w:ascii="仿宋_GB2312" w:hAnsi="仿宋_GB2312" w:eastAsia="仿宋_GB2312" w:cs="仿宋_GB2312"/>
          <w:b/>
          <w:sz w:val="32"/>
          <w:szCs w:val="32"/>
        </w:rPr>
        <w:t>再如，</w:t>
      </w:r>
      <w:r>
        <w:rPr>
          <w:rFonts w:hint="eastAsia" w:ascii="仿宋_GB2312" w:hAnsi="仿宋_GB2312" w:eastAsia="仿宋_GB2312" w:cs="仿宋_GB2312"/>
          <w:sz w:val="32"/>
          <w:szCs w:val="32"/>
        </w:rPr>
        <w:t>开发国高自评系统，对复议企业开展专题辅导，全面提升认定通过率。</w:t>
      </w:r>
      <w:r>
        <w:rPr>
          <w:rFonts w:ascii="仿宋_GB2312" w:hAnsi="仿宋_GB2312" w:eastAsia="仿宋_GB2312" w:cs="仿宋_GB2312"/>
          <w:sz w:val="32"/>
          <w:szCs w:val="32"/>
        </w:rPr>
        <w:t>2019年，新增国高企业470余家，总数超过4000家，绩效指标并列全市第一。</w:t>
      </w:r>
    </w:p>
    <w:p>
      <w:pPr>
        <w:snapToGrid w:val="0"/>
        <w:spacing w:line="240" w:lineRule="auto"/>
        <w:ind w:firstLine="643" w:firstLineChars="200"/>
        <w:jc w:val="center"/>
        <w:rPr>
          <w:rFonts w:hint="eastAsia" w:ascii="仿宋_GB2312" w:hAnsi="仿宋_GB2312" w:eastAsia="仿宋_GB2312" w:cs="仿宋_GB2312"/>
          <w:b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b/>
          <w:sz w:val="32"/>
          <w:szCs w:val="32"/>
          <w:lang w:eastAsia="zh-CN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143510</wp:posOffset>
            </wp:positionH>
            <wp:positionV relativeFrom="paragraph">
              <wp:posOffset>281305</wp:posOffset>
            </wp:positionV>
            <wp:extent cx="5394960" cy="3543300"/>
            <wp:effectExtent l="0" t="0" r="2540" b="0"/>
            <wp:wrapTopAndBottom/>
            <wp:docPr id="2" name="图片 2" descr="一.腾讯大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一.腾讯大厦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napToGrid w:val="0"/>
        <w:spacing w:line="560" w:lineRule="exact"/>
        <w:ind w:left="0" w:leftChars="0" w:firstLine="0" w:firstLineChars="0"/>
        <w:jc w:val="center"/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  <w:t>（图为</w:t>
      </w:r>
      <w:bookmarkStart w:id="0" w:name="_GoBack"/>
      <w:bookmarkEnd w:id="0"/>
      <w:r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  <w:t>南山区腾讯大厦）</w:t>
      </w:r>
    </w:p>
    <w:p>
      <w:pPr>
        <w:snapToGrid w:val="0"/>
        <w:spacing w:line="560" w:lineRule="exact"/>
        <w:ind w:firstLine="643" w:firstLineChars="200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sz w:val="32"/>
          <w:szCs w:val="32"/>
        </w:rPr>
        <w:t>深化产学研用一体化改革，促进“大学—政府—企业”三方深度合作。</w:t>
      </w:r>
      <w:r>
        <w:rPr>
          <w:rFonts w:hint="eastAsia" w:ascii="仿宋_GB2312" w:hAnsi="仿宋_GB2312" w:eastAsia="仿宋_GB2312" w:cs="仿宋_GB2312"/>
          <w:sz w:val="32"/>
          <w:szCs w:val="32"/>
        </w:rPr>
        <w:t>搭建高校科技成果转化、创新企业孵化、创新创业人才培养“三个平台”，建设自主创新重点基地、产学研合作示范基地、高校师生创业实践基地、战略性新兴产业培育基地“四大基地”，以“西丽湖国际科教城”为核心引擎，增强源头创新能力。</w:t>
      </w:r>
      <w:r>
        <w:rPr>
          <w:rFonts w:ascii="仿宋_GB2312" w:hAnsi="仿宋_GB2312" w:eastAsia="仿宋_GB2312" w:cs="仿宋_GB2312"/>
          <w:sz w:val="32"/>
          <w:szCs w:val="32"/>
        </w:rPr>
        <w:t>2019年底，区</w:t>
      </w:r>
      <w:r>
        <w:rPr>
          <w:rFonts w:hint="eastAsia" w:ascii="仿宋_GB2312" w:hAnsi="仿宋_GB2312" w:eastAsia="仿宋_GB2312" w:cs="仿宋_GB2312"/>
          <w:sz w:val="32"/>
          <w:szCs w:val="32"/>
        </w:rPr>
        <w:t>内</w:t>
      </w:r>
      <w:r>
        <w:rPr>
          <w:rFonts w:ascii="仿宋_GB2312" w:hAnsi="仿宋_GB2312" w:eastAsia="仿宋_GB2312" w:cs="仿宋_GB2312"/>
          <w:sz w:val="32"/>
          <w:szCs w:val="32"/>
        </w:rPr>
        <w:t>共拥有工程实验室、企业技术中心等各类创新载体1207家，其中国家级70家、省部级279家、市级858家；集聚了22位院士、1800多名科研人员；诺贝尔奖实验室达到9家，超过全市80%。</w:t>
      </w:r>
      <w:r>
        <w:rPr>
          <w:rFonts w:hint="eastAsia" w:ascii="仿宋_GB2312" w:hAnsi="仿宋_GB2312" w:eastAsia="仿宋_GB2312" w:cs="仿宋_GB2312"/>
          <w:sz w:val="32"/>
          <w:szCs w:val="32"/>
        </w:rPr>
        <w:t>区内</w:t>
      </w:r>
      <w:r>
        <w:rPr>
          <w:rFonts w:ascii="仿宋_GB2312" w:hAnsi="仿宋_GB2312" w:eastAsia="仿宋_GB2312" w:cs="仿宋_GB2312"/>
          <w:sz w:val="32"/>
          <w:szCs w:val="32"/>
        </w:rPr>
        <w:t>90%的科技型企业设立了研发机构，全社会研发投入占GDP比重达5%，上市企业中90%为高科技企业。</w:t>
      </w:r>
    </w:p>
    <w:p>
      <w:pPr>
        <w:snapToGrid w:val="0"/>
        <w:spacing w:line="560" w:lineRule="exact"/>
        <w:ind w:firstLine="643" w:firstLineChars="200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sz w:val="32"/>
          <w:szCs w:val="32"/>
        </w:rPr>
        <w:t>集中发力开放式创新，全球布局建设科技创新平台。</w:t>
      </w:r>
      <w:r>
        <w:rPr>
          <w:rFonts w:hint="eastAsia" w:ascii="仿宋_GB2312" w:hAnsi="仿宋_GB2312" w:eastAsia="仿宋_GB2312" w:cs="仿宋_GB2312"/>
          <w:sz w:val="32"/>
          <w:szCs w:val="32"/>
        </w:rPr>
        <w:t>积极引进格拉布斯研究院、中村修二激光照明研究院等诺奖科学家实验室，支持建设鹏城实验室（深圳网络空间科学与技术广东省实验室）等科技创新平台，在美国硅谷、英国伦敦、以色列特拉维夫等全球创新高地布局建设国际化开放创新中心，以“直通车”机制引导资本、技术、人才、产业汇聚南山。目前，南山区支持企业和科研机构建设</w:t>
      </w:r>
      <w:r>
        <w:rPr>
          <w:rFonts w:ascii="仿宋_GB2312" w:hAnsi="仿宋_GB2312" w:eastAsia="仿宋_GB2312" w:cs="仿宋_GB2312"/>
          <w:sz w:val="32"/>
          <w:szCs w:val="32"/>
        </w:rPr>
        <w:t>7个海外创新中心，50多家龙头企业在全球主要创新区域设有研发中心，吸引ARM、空客、高通等一批世界</w:t>
      </w:r>
      <w:r>
        <w:rPr>
          <w:rFonts w:hint="eastAsia" w:ascii="仿宋_GB2312" w:hAnsi="仿宋_GB2312" w:eastAsia="仿宋_GB2312" w:cs="仿宋_GB2312"/>
          <w:sz w:val="32"/>
          <w:szCs w:val="32"/>
        </w:rPr>
        <w:t>科技巨头在南山设立研发中心</w:t>
      </w:r>
      <w:r>
        <w:rPr>
          <w:rFonts w:ascii="仿宋_GB2312" w:hAnsi="仿宋_GB2312" w:eastAsia="仿宋_GB2312" w:cs="仿宋_GB2312"/>
          <w:sz w:val="32"/>
          <w:szCs w:val="32"/>
        </w:rPr>
        <w:t>。</w:t>
      </w:r>
    </w:p>
    <w:p>
      <w:pPr>
        <w:snapToGrid w:val="0"/>
        <w:spacing w:line="560" w:lineRule="exact"/>
        <w:ind w:firstLine="643" w:firstLineChars="200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sz w:val="32"/>
          <w:szCs w:val="32"/>
        </w:rPr>
        <w:t>紧抓科技防疫有利契机，</w:t>
      </w:r>
      <w:r>
        <w:rPr>
          <w:rFonts w:ascii="仿宋_GB2312" w:hAnsi="仿宋_GB2312" w:eastAsia="仿宋_GB2312" w:cs="仿宋_GB2312"/>
          <w:b/>
          <w:sz w:val="32"/>
          <w:szCs w:val="32"/>
        </w:rPr>
        <w:t>乘势而上培育</w:t>
      </w:r>
      <w:r>
        <w:rPr>
          <w:rFonts w:hint="eastAsia" w:ascii="仿宋_GB2312" w:hAnsi="仿宋_GB2312" w:eastAsia="仿宋_GB2312" w:cs="仿宋_GB2312"/>
          <w:b/>
          <w:sz w:val="32"/>
          <w:szCs w:val="32"/>
        </w:rPr>
        <w:t>创新</w:t>
      </w:r>
      <w:r>
        <w:rPr>
          <w:rFonts w:ascii="仿宋_GB2312" w:hAnsi="仿宋_GB2312" w:eastAsia="仿宋_GB2312" w:cs="仿宋_GB2312"/>
          <w:b/>
          <w:sz w:val="32"/>
          <w:szCs w:val="32"/>
        </w:rPr>
        <w:t>动能</w:t>
      </w:r>
      <w:r>
        <w:rPr>
          <w:rFonts w:hint="eastAsia" w:ascii="仿宋_GB2312" w:hAnsi="仿宋_GB2312" w:eastAsia="仿宋_GB2312" w:cs="仿宋_GB2312"/>
          <w:b/>
          <w:sz w:val="32"/>
          <w:szCs w:val="32"/>
        </w:rPr>
        <w:t>。</w:t>
      </w:r>
      <w:r>
        <w:rPr>
          <w:rFonts w:hint="eastAsia" w:ascii="仿宋_GB2312" w:hAnsi="仿宋_GB2312" w:eastAsia="仿宋_GB2312" w:cs="仿宋_GB2312"/>
          <w:sz w:val="32"/>
          <w:szCs w:val="32"/>
        </w:rPr>
        <w:t>面对突如其来的新冠疫情，南山区上半年经济逆市增长，</w:t>
      </w:r>
      <w:r>
        <w:rPr>
          <w:rFonts w:ascii="仿宋_GB2312" w:hAnsi="仿宋_GB2312" w:eastAsia="仿宋_GB2312" w:cs="仿宋_GB2312"/>
          <w:sz w:val="32"/>
          <w:szCs w:val="32"/>
        </w:rPr>
        <w:t>GDP</w:t>
      </w:r>
      <w:r>
        <w:rPr>
          <w:rFonts w:hint="eastAsia" w:ascii="仿宋_GB2312" w:hAnsi="仿宋_GB2312" w:eastAsia="仿宋_GB2312" w:cs="仿宋_GB2312"/>
          <w:sz w:val="32"/>
          <w:szCs w:val="32"/>
        </w:rPr>
        <w:t>同比</w:t>
      </w:r>
      <w:r>
        <w:rPr>
          <w:rFonts w:ascii="仿宋_GB2312" w:hAnsi="仿宋_GB2312" w:eastAsia="仿宋_GB2312" w:cs="仿宋_GB2312"/>
          <w:sz w:val="32"/>
          <w:szCs w:val="32"/>
        </w:rPr>
        <w:t>增长2.5%</w:t>
      </w:r>
      <w:r>
        <w:rPr>
          <w:rFonts w:hint="eastAsia" w:ascii="仿宋_GB2312" w:hAnsi="仿宋_GB2312" w:eastAsia="仿宋_GB2312" w:cs="仿宋_GB2312"/>
          <w:sz w:val="32"/>
          <w:szCs w:val="32"/>
        </w:rPr>
        <w:t>（全国为-</w:t>
      </w:r>
      <w:r>
        <w:rPr>
          <w:rFonts w:ascii="仿宋_GB2312" w:hAnsi="仿宋_GB2312" w:eastAsia="仿宋_GB2312" w:cs="仿宋_GB2312"/>
          <w:sz w:val="32"/>
          <w:szCs w:val="32"/>
        </w:rPr>
        <w:t>1.6</w:t>
      </w:r>
      <w:r>
        <w:rPr>
          <w:rFonts w:hint="eastAsia" w:ascii="仿宋_GB2312" w:hAnsi="仿宋_GB2312" w:eastAsia="仿宋_GB2312" w:cs="仿宋_GB2312"/>
          <w:sz w:val="32"/>
          <w:szCs w:val="32"/>
        </w:rPr>
        <w:t>%，深圳为0</w:t>
      </w:r>
      <w:r>
        <w:rPr>
          <w:rFonts w:ascii="仿宋_GB2312" w:hAnsi="仿宋_GB2312" w:eastAsia="仿宋_GB2312" w:cs="仿宋_GB2312"/>
          <w:sz w:val="32"/>
          <w:szCs w:val="32"/>
        </w:rPr>
        <w:t>.1</w:t>
      </w:r>
      <w:r>
        <w:rPr>
          <w:rFonts w:hint="eastAsia" w:ascii="仿宋_GB2312" w:hAnsi="仿宋_GB2312" w:eastAsia="仿宋_GB2312" w:cs="仿宋_GB2312"/>
          <w:sz w:val="32"/>
          <w:szCs w:val="32"/>
        </w:rPr>
        <w:t>%）</w:t>
      </w:r>
      <w:r>
        <w:rPr>
          <w:rFonts w:ascii="仿宋_GB2312" w:hAnsi="仿宋_GB2312" w:eastAsia="仿宋_GB2312" w:cs="仿宋_GB2312"/>
          <w:sz w:val="32"/>
          <w:szCs w:val="32"/>
        </w:rPr>
        <w:t>；软件和信息技术服务业增长10.4%；规上工业总产值2613亿元，增长1.0%，比上一季度高20.3%</w:t>
      </w:r>
      <w:r>
        <w:rPr>
          <w:rFonts w:hint="eastAsia" w:ascii="仿宋_GB2312" w:hAnsi="仿宋_GB2312" w:eastAsia="仿宋_GB2312" w:cs="仿宋_GB2312"/>
          <w:sz w:val="32"/>
          <w:szCs w:val="32"/>
        </w:rPr>
        <w:t>。辖区内企业凭借科技优势转“危”为“机”，在助力抗疫的同时，加快培育创新动能，实现了跨越式发展。今年</w:t>
      </w:r>
      <w:r>
        <w:rPr>
          <w:rFonts w:ascii="仿宋_GB2312" w:hAnsi="仿宋_GB2312" w:eastAsia="仿宋_GB2312" w:cs="仿宋_GB2312"/>
          <w:sz w:val="32"/>
          <w:szCs w:val="32"/>
        </w:rPr>
        <w:t>6月，在工信部公布的79家“科技战疫”表现突出的人工智能企业名单中，深圳企业占8家，其中6家来自南山，分别是：普渡科技、优必选科技、景阳科技、商汤科技、腾讯和北科瑞声。</w:t>
      </w:r>
    </w:p>
    <w:p>
      <w:pPr>
        <w:snapToGrid w:val="0"/>
        <w:spacing w:line="560" w:lineRule="exact"/>
        <w:ind w:firstLine="640" w:firstLineChars="200"/>
        <w:rPr>
          <w:rFonts w:ascii="黑体" w:hAnsi="黑体" w:eastAsia="黑体" w:cs="仿宋_GB2312"/>
          <w:sz w:val="32"/>
          <w:szCs w:val="32"/>
        </w:rPr>
      </w:pPr>
      <w:r>
        <w:rPr>
          <w:rFonts w:hint="eastAsia" w:ascii="黑体" w:hAnsi="黑体" w:eastAsia="黑体" w:cs="仿宋_GB2312"/>
          <w:sz w:val="32"/>
          <w:szCs w:val="32"/>
        </w:rPr>
        <w:t>二、注重人才第一资源，激发创新大脑“潜力”，闯出一条“人才引领”之路</w:t>
      </w:r>
    </w:p>
    <w:p>
      <w:pPr>
        <w:snapToGrid w:val="0"/>
        <w:spacing w:line="560" w:lineRule="exact"/>
        <w:ind w:firstLine="640" w:firstLineChars="200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南山区坚持人才优先发展战略，筑巢引才、创业用才、环境留才，突出“高精尖缺”导向，激发人才创新动力、活力和潜力。</w:t>
      </w:r>
    </w:p>
    <w:p>
      <w:pPr>
        <w:adjustRightInd w:val="0"/>
        <w:snapToGrid w:val="0"/>
        <w:spacing w:line="560" w:lineRule="exact"/>
        <w:ind w:firstLine="643" w:firstLineChars="200"/>
        <w:rPr>
          <w:rFonts w:ascii="仿宋_GB2312" w:hAnsi="仿宋_GB2312" w:eastAsia="仿宋_GB2312" w:cs="仿宋_GB2312"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sz w:val="32"/>
          <w:szCs w:val="32"/>
        </w:rPr>
        <w:t>创新人才引进机制，拓宽高层次人才引进渠道。</w:t>
      </w:r>
      <w:r>
        <w:rPr>
          <w:rFonts w:hint="eastAsia" w:ascii="仿宋_GB2312" w:hAnsi="仿宋_GB2312" w:eastAsia="仿宋_GB2312" w:cs="仿宋_GB2312"/>
          <w:bCs/>
          <w:sz w:val="32"/>
          <w:szCs w:val="32"/>
        </w:rPr>
        <w:t>实施人才“领航计划”，结合产业需求，引进培育扶持一批拥有核心技术的海归人才和国内顶尖专业人才。目前，南山区集聚了深圳70%以上的高层次人才，其中，院士</w:t>
      </w:r>
      <w:r>
        <w:rPr>
          <w:rFonts w:ascii="仿宋_GB2312" w:hAnsi="仿宋_GB2312" w:eastAsia="仿宋_GB2312" w:cs="仿宋_GB2312"/>
          <w:bCs/>
          <w:sz w:val="32"/>
          <w:szCs w:val="32"/>
        </w:rPr>
        <w:t>28</w:t>
      </w:r>
      <w:r>
        <w:rPr>
          <w:rFonts w:hint="eastAsia" w:ascii="仿宋_GB2312" w:hAnsi="仿宋_GB2312" w:eastAsia="仿宋_GB2312" w:cs="仿宋_GB2312"/>
          <w:bCs/>
          <w:sz w:val="32"/>
          <w:szCs w:val="32"/>
        </w:rPr>
        <w:t>名，国家“千人计划”人才</w:t>
      </w:r>
      <w:r>
        <w:rPr>
          <w:rFonts w:ascii="仿宋_GB2312" w:hAnsi="仿宋_GB2312" w:eastAsia="仿宋_GB2312" w:cs="仿宋_GB2312"/>
          <w:bCs/>
          <w:sz w:val="32"/>
          <w:szCs w:val="32"/>
        </w:rPr>
        <w:t>279</w:t>
      </w:r>
      <w:r>
        <w:rPr>
          <w:rFonts w:hint="eastAsia" w:ascii="仿宋_GB2312" w:hAnsi="仿宋_GB2312" w:eastAsia="仿宋_GB2312" w:cs="仿宋_GB2312"/>
          <w:bCs/>
          <w:sz w:val="32"/>
          <w:szCs w:val="32"/>
        </w:rPr>
        <w:t>名。大量人才的集聚带来了国际最前沿的科技成果，填补了不少国内技术空白。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比如，</w:t>
      </w:r>
      <w:r>
        <w:rPr>
          <w:rFonts w:hint="eastAsia" w:ascii="仿宋_GB2312" w:hAnsi="仿宋_GB2312" w:eastAsia="仿宋_GB2312" w:cs="仿宋_GB2312"/>
          <w:bCs/>
          <w:sz w:val="32"/>
          <w:szCs w:val="32"/>
        </w:rPr>
        <w:t>奥比中光的核心技术团队全部来自海外，公司现已成为3D传感器领域的“独角兽”企业。</w:t>
      </w:r>
    </w:p>
    <w:p>
      <w:pPr>
        <w:adjustRightInd w:val="0"/>
        <w:snapToGrid w:val="0"/>
        <w:spacing w:line="240" w:lineRule="auto"/>
        <w:ind w:left="0" w:leftChars="0" w:firstLine="0" w:firstLineChars="0"/>
        <w:jc w:val="center"/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161925</wp:posOffset>
            </wp:positionH>
            <wp:positionV relativeFrom="paragraph">
              <wp:posOffset>145415</wp:posOffset>
            </wp:positionV>
            <wp:extent cx="5669280" cy="3779520"/>
            <wp:effectExtent l="0" t="0" r="7620" b="5080"/>
            <wp:wrapTopAndBottom/>
            <wp:docPr id="4" name="图片 4" descr="二.人才公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二.人才公园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  <w:t>（图为深圳人才公园）</w:t>
      </w:r>
    </w:p>
    <w:p>
      <w:pPr>
        <w:adjustRightInd w:val="0"/>
        <w:snapToGrid w:val="0"/>
        <w:spacing w:line="560" w:lineRule="exact"/>
        <w:ind w:firstLine="643" w:firstLineChars="200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sz w:val="32"/>
          <w:szCs w:val="32"/>
        </w:rPr>
        <w:t>优化人才激励机制，构建精准高效的人才服务体系。</w:t>
      </w:r>
      <w:r>
        <w:rPr>
          <w:rFonts w:hint="eastAsia" w:ascii="仿宋_GB2312" w:hAnsi="仿宋_GB2312" w:eastAsia="仿宋_GB2312" w:cs="仿宋_GB2312"/>
          <w:sz w:val="32"/>
          <w:szCs w:val="32"/>
        </w:rPr>
        <w:t>注重实施“编制到岗”“股权激励”等人才创新管理方式，释放了人才创新动力和活力。</w:t>
      </w:r>
      <w:r>
        <w:rPr>
          <w:rFonts w:hint="eastAsia" w:ascii="仿宋_GB2312" w:hAnsi="仿宋_GB2312" w:eastAsia="仿宋_GB2312" w:cs="仿宋_GB2312"/>
          <w:bCs/>
          <w:sz w:val="32"/>
          <w:szCs w:val="32"/>
        </w:rPr>
        <w:t>依托全区101个党群服务中心，实施人才服务“一卡通”制度、人才安居工程，建立了全方位、全覆盖的人才服务网络。利用人才集聚的优势，构建完整的人力资源服务产业链，开展猎头、测评、咨询、创业辅导、流程外包等人才服务，打造了国内领先的南山区人力资源服务产业园。</w:t>
      </w:r>
    </w:p>
    <w:p>
      <w:pPr>
        <w:snapToGrid w:val="0"/>
        <w:spacing w:line="560" w:lineRule="exact"/>
        <w:ind w:firstLine="643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sz w:val="32"/>
          <w:szCs w:val="32"/>
        </w:rPr>
        <w:t>提升人才发展环境，构建宜居宜业的创新型滨海中心城区。</w:t>
      </w:r>
      <w:r>
        <w:rPr>
          <w:rFonts w:hint="eastAsia" w:ascii="仿宋_GB2312" w:eastAsia="仿宋_GB2312"/>
          <w:sz w:val="32"/>
          <w:szCs w:val="32"/>
        </w:rPr>
        <w:t>每年拿出80%以上的财政收入用于九大类民生投入，为创新人才提供一流的教育、医疗、交通等配套服务和环境保障。2017年</w:t>
      </w:r>
      <w:r>
        <w:rPr>
          <w:rFonts w:hint="eastAsia" w:ascii="仿宋_GB2312" w:hAnsi="仿宋_GB2312" w:eastAsia="仿宋_GB2312" w:cs="仿宋_GB2312"/>
          <w:bCs/>
          <w:sz w:val="32"/>
          <w:szCs w:val="32"/>
        </w:rPr>
        <w:t>规划建成的总面积70万平方米、永久性人才激励阵地——深圳人才公园，成为全国首个以人才为主题的高品质市政公园，营造了全社会识才爱才用才容才聚才的浓厚氛围。</w:t>
      </w:r>
    </w:p>
    <w:p>
      <w:pPr>
        <w:snapToGrid w:val="0"/>
        <w:spacing w:line="560" w:lineRule="exact"/>
        <w:ind w:firstLine="640" w:firstLineChars="200"/>
        <w:rPr>
          <w:rFonts w:ascii="黑体" w:hAnsi="黑体" w:eastAsia="黑体" w:cs="仿宋_GB2312"/>
          <w:sz w:val="32"/>
          <w:szCs w:val="32"/>
        </w:rPr>
      </w:pPr>
      <w:r>
        <w:rPr>
          <w:rFonts w:hint="eastAsia" w:ascii="黑体" w:hAnsi="黑体" w:eastAsia="黑体" w:cs="仿宋_GB2312"/>
          <w:sz w:val="32"/>
          <w:szCs w:val="32"/>
        </w:rPr>
        <w:t>三、注重引进金融活水，激发创新血脉“活力”，闯出一条“加速发展”之路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Cs/>
          <w:sz w:val="32"/>
        </w:rPr>
        <w:t>南山区通过</w:t>
      </w:r>
      <w:r>
        <w:rPr>
          <w:rFonts w:hint="eastAsia" w:ascii="仿宋_GB2312" w:hAnsi="仿宋_GB2312" w:eastAsia="仿宋_GB2312" w:cs="仿宋_GB2312"/>
          <w:sz w:val="32"/>
          <w:szCs w:val="32"/>
        </w:rPr>
        <w:t>一系列创新金融政策安排，让创新成为有源之水，不断孵化新的成果，为区域创新发展提供不竭动力。</w:t>
      </w:r>
    </w:p>
    <w:p>
      <w:pPr>
        <w:adjustRightInd w:val="0"/>
        <w:snapToGrid w:val="0"/>
        <w:spacing w:line="560" w:lineRule="exact"/>
        <w:ind w:firstLine="643" w:firstLineChars="200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sz w:val="32"/>
          <w:szCs w:val="32"/>
        </w:rPr>
        <w:t>搭建科技金融平台，培育科技金融生态圈。</w:t>
      </w:r>
      <w:r>
        <w:rPr>
          <w:rFonts w:hint="eastAsia" w:ascii="仿宋_GB2312" w:hAnsi="仿宋_GB2312" w:eastAsia="仿宋_GB2312" w:cs="仿宋_GB2312"/>
          <w:sz w:val="32"/>
          <w:szCs w:val="32"/>
        </w:rPr>
        <w:t>建立“</w:t>
      </w:r>
      <w:r>
        <w:rPr>
          <w:rFonts w:ascii="仿宋_GB2312" w:hAnsi="仿宋_GB2312" w:eastAsia="仿宋_GB2312" w:cs="仿宋_GB2312"/>
          <w:sz w:val="32"/>
          <w:szCs w:val="32"/>
        </w:rPr>
        <w:t>1+1+3+8”科技金融新模式，</w:t>
      </w:r>
      <w:r>
        <w:rPr>
          <w:rFonts w:hint="eastAsia" w:ascii="仿宋_GB2312" w:hAnsi="仿宋_GB2312" w:eastAsia="仿宋_GB2312" w:cs="仿宋_GB2312"/>
          <w:sz w:val="32"/>
          <w:szCs w:val="32"/>
        </w:rPr>
        <w:t>建立“南山科技金融在线平台”，在全市率先推出孵化贷、成长贷、集合发债、集合担保信贷、知识产权质押贷、研发贷、科技保理贷、上市促进贷等丰富的科技金融产品，推动形成“政企联动、银保联动、投贷联动”的科技金融生态圈。截至</w:t>
      </w:r>
      <w:r>
        <w:rPr>
          <w:rFonts w:ascii="仿宋_GB2312" w:hAnsi="仿宋_GB2312" w:eastAsia="仿宋_GB2312" w:cs="仿宋_GB2312"/>
          <w:sz w:val="32"/>
          <w:szCs w:val="32"/>
        </w:rPr>
        <w:t>2020年上半年（6月30日），南山科技金融平台，累计帮助5132家次企业获得银行贷款，贷款总金额超270亿元。</w:t>
      </w:r>
      <w:r>
        <w:rPr>
          <w:rFonts w:hint="eastAsia" w:ascii="仿宋_GB2312" w:hAnsi="仿宋_GB2312" w:eastAsia="仿宋_GB2312" w:cs="仿宋_GB2312"/>
          <w:sz w:val="32"/>
          <w:szCs w:val="32"/>
        </w:rPr>
        <w:t>近期，南山区在城区最核心、最繁华的地段打造总面积37.5万平米的南山科技金融城，吸引了来自海内外的</w:t>
      </w:r>
      <w:r>
        <w:rPr>
          <w:rFonts w:ascii="仿宋_GB2312" w:hAnsi="仿宋_GB2312" w:eastAsia="仿宋_GB2312" w:cs="仿宋_GB2312"/>
          <w:sz w:val="32"/>
          <w:szCs w:val="32"/>
        </w:rPr>
        <w:t>70余家优秀企业入驻，其中包括7家世界500强企业</w:t>
      </w:r>
      <w:r>
        <w:rPr>
          <w:rFonts w:hint="eastAsia" w:ascii="仿宋_GB2312" w:hAnsi="仿宋_GB2312" w:eastAsia="仿宋_GB2312" w:cs="仿宋_GB2312"/>
          <w:sz w:val="32"/>
          <w:szCs w:val="32"/>
        </w:rPr>
        <w:t>，未来将吸引不少于300家金融及高新技术企业落户，创造2.3万个就业岗位，贡献约800亿年产值。</w:t>
      </w:r>
    </w:p>
    <w:p>
      <w:pPr>
        <w:adjustRightInd w:val="0"/>
        <w:snapToGrid w:val="0"/>
        <w:spacing w:line="240" w:lineRule="auto"/>
        <w:ind w:left="0" w:leftChars="0" w:firstLine="0" w:firstLineChars="0"/>
        <w:jc w:val="center"/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116205</wp:posOffset>
            </wp:positionH>
            <wp:positionV relativeFrom="paragraph">
              <wp:posOffset>0</wp:posOffset>
            </wp:positionV>
            <wp:extent cx="5687695" cy="3789680"/>
            <wp:effectExtent l="0" t="0" r="1905" b="7620"/>
            <wp:wrapTopAndBottom/>
            <wp:docPr id="5" name="图片 5" descr="三.南山科技金融城全面落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三.南山科技金融城全面落成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378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  <w:t>（图为南山科技金融城全面落成）</w:t>
      </w:r>
    </w:p>
    <w:p>
      <w:pPr>
        <w:adjustRightInd w:val="0"/>
        <w:snapToGrid w:val="0"/>
        <w:spacing w:line="560" w:lineRule="exact"/>
        <w:ind w:firstLine="643" w:firstLineChars="200"/>
        <w:rPr>
          <w:rFonts w:ascii="仿宋_GB2312" w:hAnsi="仿宋_GB2312" w:eastAsia="仿宋_GB2312" w:cs="仿宋_GB2312"/>
          <w:sz w:val="32"/>
        </w:rPr>
      </w:pPr>
      <w:r>
        <w:rPr>
          <w:rFonts w:hint="eastAsia" w:ascii="仿宋_GB2312" w:hAnsi="仿宋_GB2312" w:eastAsia="仿宋_GB2312" w:cs="仿宋_GB2312"/>
          <w:b/>
          <w:sz w:val="32"/>
          <w:szCs w:val="32"/>
        </w:rPr>
        <w:t>设立政府引导基金，提升创投机构服务效能。</w:t>
      </w:r>
      <w:r>
        <w:rPr>
          <w:rFonts w:hint="eastAsia" w:ascii="仿宋_GB2312" w:hAnsi="仿宋_GB2312" w:eastAsia="仿宋_GB2312" w:cs="仿宋_GB2312"/>
          <w:sz w:val="32"/>
          <w:szCs w:val="32"/>
        </w:rPr>
        <w:t>成立区属产业引导基金，注册资本160亿元，以“双创天使+PE”基金为抓手，专注于种子期、初创期的优质创新创业项目，帮助创业企业解决融资难题。截至</w:t>
      </w:r>
      <w:r>
        <w:rPr>
          <w:rFonts w:ascii="仿宋_GB2312" w:hAnsi="仿宋_GB2312" w:eastAsia="仿宋_GB2312" w:cs="仿宋_GB2312"/>
          <w:sz w:val="32"/>
          <w:szCs w:val="32"/>
        </w:rPr>
        <w:t>2019年底，汇通金控累计过会子基金40只</w:t>
      </w:r>
      <w:r>
        <w:rPr>
          <w:rFonts w:hint="eastAsia" w:ascii="仿宋_GB2312" w:hAnsi="仿宋_GB2312" w:eastAsia="仿宋_GB2312" w:cs="仿宋_GB2312"/>
          <w:sz w:val="32"/>
          <w:szCs w:val="32"/>
        </w:rPr>
        <w:t>，</w:t>
      </w:r>
      <w:r>
        <w:rPr>
          <w:rFonts w:ascii="仿宋_GB2312" w:hAnsi="仿宋_GB2312" w:eastAsia="仿宋_GB2312" w:cs="仿宋_GB2312"/>
          <w:sz w:val="32"/>
          <w:szCs w:val="32"/>
        </w:rPr>
        <w:t>总规模1012.16亿元，认缴规模102.34亿元，初步形成贯穿企业全生命周期的股权投资基金体系。</w:t>
      </w:r>
      <w:r>
        <w:rPr>
          <w:rFonts w:hint="eastAsia" w:ascii="仿宋_GB2312" w:hAnsi="仿宋_GB2312" w:eastAsia="仿宋_GB2312" w:cs="仿宋_GB2312"/>
          <w:sz w:val="32"/>
          <w:szCs w:val="32"/>
        </w:rPr>
        <w:t>南山区聚集了深圳80%的创投机构，为了让好的创意、好的点子可以快速获得资本支持，南山区</w:t>
      </w:r>
      <w:r>
        <w:rPr>
          <w:rFonts w:hint="eastAsia" w:ascii="仿宋_GB2312" w:hAnsi="仿宋_GB2312" w:eastAsia="仿宋_GB2312" w:cs="仿宋_GB2312"/>
          <w:sz w:val="32"/>
        </w:rPr>
        <w:t>联合各类投融资、孵化器、银行等机构，</w:t>
      </w:r>
      <w:r>
        <w:rPr>
          <w:rFonts w:hint="eastAsia" w:ascii="仿宋_GB2312" w:hAnsi="仿宋_GB2312" w:eastAsia="仿宋_GB2312" w:cs="仿宋_GB2312"/>
          <w:sz w:val="32"/>
          <w:szCs w:val="32"/>
        </w:rPr>
        <w:t>连续举办十届</w:t>
      </w:r>
      <w:r>
        <w:rPr>
          <w:rFonts w:hint="eastAsia" w:ascii="仿宋_GB2312" w:hAnsi="仿宋_GB2312" w:eastAsia="仿宋_GB2312" w:cs="仿宋_GB2312"/>
          <w:sz w:val="32"/>
        </w:rPr>
        <w:t>“创业之星”大赛，已促成各类合作3500余项，带动近百家投资机构对300余个项目超过40亿元的投资，培育</w:t>
      </w:r>
      <w:r>
        <w:rPr>
          <w:rFonts w:hint="eastAsia" w:ascii="仿宋_GB2312" w:hAnsi="仿宋_GB2312" w:eastAsia="仿宋_GB2312" w:cs="仿宋_GB2312"/>
          <w:bCs/>
          <w:kern w:val="0"/>
          <w:sz w:val="32"/>
          <w:szCs w:val="32"/>
        </w:rPr>
        <w:t>金信诺、茂硕电源等6家上市公司，</w:t>
      </w:r>
      <w:r>
        <w:rPr>
          <w:rFonts w:hint="eastAsia" w:ascii="仿宋_GB2312" w:hAnsi="仿宋_GB2312" w:eastAsia="仿宋_GB2312" w:cs="仿宋_GB2312"/>
          <w:sz w:val="32"/>
        </w:rPr>
        <w:t>以及大疆创新、光峰光电等一批行业领军企业。</w:t>
      </w:r>
    </w:p>
    <w:p>
      <w:pPr>
        <w:snapToGrid w:val="0"/>
        <w:spacing w:line="560" w:lineRule="exact"/>
        <w:ind w:firstLine="640" w:firstLineChars="200"/>
        <w:rPr>
          <w:rFonts w:ascii="黑体" w:hAnsi="黑体" w:eastAsia="黑体" w:cs="仿宋_GB2312"/>
          <w:sz w:val="32"/>
          <w:szCs w:val="32"/>
        </w:rPr>
      </w:pPr>
      <w:r>
        <w:rPr>
          <w:rFonts w:hint="eastAsia" w:ascii="黑体" w:hAnsi="黑体" w:eastAsia="黑体" w:cs="仿宋_GB2312"/>
          <w:sz w:val="32"/>
          <w:szCs w:val="32"/>
        </w:rPr>
        <w:t>四、注重创新生态系统，激发创新环境“魅力”，闯出一条“利企惠企”之路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仿宋_GB2312" w:hAnsi="仿宋_GB2312" w:eastAsia="仿宋_GB2312" w:cs="仿宋_GB2312"/>
          <w:sz w:val="32"/>
        </w:rPr>
      </w:pPr>
      <w:r>
        <w:rPr>
          <w:rFonts w:hint="eastAsia" w:ascii="仿宋_GB2312" w:hAnsi="仿宋_GB2312" w:eastAsia="仿宋_GB2312" w:cs="仿宋_GB2312"/>
          <w:sz w:val="32"/>
        </w:rPr>
        <w:t>南山区通过完善科技服务体系、加大知识产权保护力度，助力打造高质量的综合创新生态体系。</w:t>
      </w:r>
    </w:p>
    <w:p>
      <w:pPr>
        <w:snapToGrid w:val="0"/>
        <w:spacing w:line="560" w:lineRule="exact"/>
        <w:ind w:firstLine="643" w:firstLineChars="200"/>
        <w:rPr>
          <w:rFonts w:ascii="仿宋_GB2312" w:hAnsi="仿宋_GB2312" w:eastAsia="仿宋_GB2312" w:cs="仿宋_GB2312"/>
          <w:sz w:val="32"/>
        </w:rPr>
      </w:pPr>
      <w:r>
        <w:rPr>
          <w:rFonts w:hint="eastAsia" w:ascii="仿宋_GB2312" w:hAnsi="仿宋_GB2312" w:eastAsia="仿宋_GB2312" w:cs="仿宋_GB2312"/>
          <w:b/>
          <w:sz w:val="32"/>
        </w:rPr>
        <w:t>大力优化营商环境，完善科技创新服务体系。</w:t>
      </w:r>
      <w:r>
        <w:rPr>
          <w:rFonts w:hint="eastAsia" w:ascii="仿宋_GB2312" w:hAnsi="仿宋_GB2312" w:eastAsia="仿宋_GB2312" w:cs="仿宋_GB2312"/>
          <w:sz w:val="32"/>
        </w:rPr>
        <w:t>率先在与国际规则对接、湾区城市营商环境、企业服务新路径、市场监管、融资难融资贵、包容审慎监管、社会信用、政务数据连通等</w:t>
      </w:r>
      <w:r>
        <w:rPr>
          <w:rFonts w:ascii="仿宋_GB2312" w:hAnsi="仿宋_GB2312" w:eastAsia="仿宋_GB2312" w:cs="仿宋_GB2312"/>
          <w:sz w:val="32"/>
        </w:rPr>
        <w:t>8大领域试行区级先行先试改革项目，在提升政务服务环境、产业发展环境、法治化营商环境方面实施了一大批改革，推动所有区级事项100％实现“一次跑”、499个事项实现“零跑动”；行政许可事项即办数达到125项，即办率从18</w:t>
      </w:r>
      <w:r>
        <w:rPr>
          <w:rFonts w:hint="eastAsia" w:ascii="仿宋_GB2312" w:hAnsi="仿宋_GB2312" w:eastAsia="仿宋_GB2312" w:cs="仿宋_GB2312"/>
          <w:sz w:val="32"/>
        </w:rPr>
        <w:t>.</w:t>
      </w:r>
      <w:r>
        <w:rPr>
          <w:rFonts w:ascii="仿宋_GB2312" w:hAnsi="仿宋_GB2312" w:eastAsia="仿宋_GB2312" w:cs="仿宋_GB2312"/>
          <w:sz w:val="32"/>
        </w:rPr>
        <w:t>1％提高到61％；147个政务服务事项“秒批”，数量居全市之首。在2019年智慧中国年会上，南山区获得“营商环境示范引领奖”和“政务服务创新奖</w:t>
      </w:r>
      <w:r>
        <w:rPr>
          <w:rFonts w:hint="eastAsia" w:ascii="仿宋_GB2312" w:hAnsi="仿宋_GB2312" w:eastAsia="仿宋_GB2312" w:cs="仿宋_GB2312"/>
          <w:sz w:val="32"/>
        </w:rPr>
        <w:t>”，是全国唯一获得该奖项的区县级单位。</w:t>
      </w:r>
    </w:p>
    <w:p>
      <w:pPr>
        <w:snapToGrid w:val="0"/>
        <w:spacing w:line="240" w:lineRule="auto"/>
        <w:ind w:left="0" w:leftChars="0" w:firstLine="0" w:firstLineChars="0"/>
        <w:jc w:val="center"/>
        <w:rPr>
          <w:rFonts w:hint="eastAsia" w:ascii="楷体" w:hAnsi="楷体" w:eastAsia="楷体" w:cs="楷体"/>
          <w:b w:val="0"/>
          <w:bCs/>
          <w:sz w:val="32"/>
          <w:lang w:eastAsia="zh-CN"/>
        </w:rPr>
      </w:pPr>
      <w:r>
        <w:rPr>
          <w:rFonts w:hint="eastAsia" w:ascii="楷体" w:hAnsi="楷体" w:eastAsia="楷体" w:cs="楷体"/>
          <w:b w:val="0"/>
          <w:bCs/>
          <w:sz w:val="32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170815</wp:posOffset>
            </wp:positionH>
            <wp:positionV relativeFrom="paragraph">
              <wp:posOffset>63500</wp:posOffset>
            </wp:positionV>
            <wp:extent cx="5626735" cy="3750945"/>
            <wp:effectExtent l="0" t="0" r="12065" b="8255"/>
            <wp:wrapTopAndBottom/>
            <wp:docPr id="6" name="图片 6" descr="四。南山50指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四。南山50指数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26735" cy="3750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 w:val="0"/>
          <w:bCs/>
          <w:sz w:val="32"/>
          <w:lang w:eastAsia="zh-CN"/>
        </w:rPr>
        <w:t>（图为国证南山50指数在深交所发布）</w:t>
      </w:r>
    </w:p>
    <w:p>
      <w:pPr>
        <w:snapToGrid w:val="0"/>
        <w:spacing w:line="560" w:lineRule="exact"/>
        <w:ind w:firstLine="643" w:firstLineChars="200"/>
        <w:rPr>
          <w:rFonts w:ascii="仿宋_GB2312" w:hAnsi="仿宋_GB2312" w:eastAsia="仿宋_GB2312" w:cs="仿宋_GB2312"/>
          <w:sz w:val="32"/>
        </w:rPr>
      </w:pPr>
      <w:r>
        <w:rPr>
          <w:rFonts w:hint="eastAsia" w:ascii="仿宋_GB2312" w:hAnsi="仿宋_GB2312" w:eastAsia="仿宋_GB2312" w:cs="仿宋_GB2312"/>
          <w:b/>
          <w:sz w:val="32"/>
        </w:rPr>
        <w:t>完善知识产权服务体系，实施最严格知识产权保护战略。</w:t>
      </w:r>
      <w:r>
        <w:rPr>
          <w:rFonts w:hint="eastAsia" w:ascii="仿宋_GB2312" w:hAnsi="仿宋_GB2312" w:eastAsia="仿宋_GB2312" w:cs="仿宋_GB2312"/>
          <w:sz w:val="32"/>
        </w:rPr>
        <w:t>以保护中心平台为基础、联席会议制度为抓手、知识产权联盟为支撑</w:t>
      </w:r>
      <w:r>
        <w:rPr>
          <w:rFonts w:ascii="仿宋_GB2312" w:hAnsi="仿宋_GB2312" w:eastAsia="仿宋_GB2312" w:cs="仿宋_GB2312"/>
          <w:sz w:val="32"/>
        </w:rPr>
        <w:t>的知识产权综合管理体系</w:t>
      </w:r>
      <w:r>
        <w:rPr>
          <w:rFonts w:hint="eastAsia" w:ascii="仿宋_GB2312" w:hAnsi="仿宋_GB2312" w:eastAsia="仿宋_GB2312" w:cs="仿宋_GB2312"/>
          <w:sz w:val="32"/>
        </w:rPr>
        <w:t>，</w:t>
      </w:r>
      <w:r>
        <w:rPr>
          <w:rFonts w:ascii="仿宋_GB2312" w:hAnsi="仿宋_GB2312" w:eastAsia="仿宋_GB2312" w:cs="仿宋_GB2312"/>
          <w:sz w:val="32"/>
        </w:rPr>
        <w:t>联席会议为辖区实施知识产权工作的最高决策形式，由区委书记担任联席会议召集人。加强知识产权中介服务机构能力建设，高标准建成面积6600平方米的南山知识产权保护中心，6家保护机构、4家行业组织、10余家国内外知名服务机构进驻，开设38个知识产权服务窗口，打造全国首家“6+4+N”知识产权一站式综合服务平台，</w:t>
      </w:r>
      <w:r>
        <w:rPr>
          <w:rFonts w:hint="eastAsia" w:ascii="仿宋_GB2312" w:hAnsi="仿宋_GB2312" w:eastAsia="仿宋_GB2312" w:cs="仿宋_GB2312"/>
          <w:sz w:val="32"/>
        </w:rPr>
        <w:t>推动</w:t>
      </w:r>
      <w:r>
        <w:rPr>
          <w:rFonts w:ascii="仿宋_GB2312" w:hAnsi="仿宋_GB2312" w:eastAsia="仿宋_GB2312" w:cs="仿宋_GB2312"/>
          <w:sz w:val="32"/>
        </w:rPr>
        <w:t>100家国内外企业和50家服务机构参与成立南山知识产权联盟</w:t>
      </w:r>
      <w:r>
        <w:rPr>
          <w:rFonts w:hint="eastAsia" w:ascii="仿宋_GB2312" w:hAnsi="仿宋_GB2312" w:eastAsia="仿宋_GB2312" w:cs="仿宋_GB2312"/>
          <w:sz w:val="32"/>
        </w:rPr>
        <w:t>，与省市知识产权保护中心签署合作备忘录，发布中国（南山）海外知识产权服务协同平台，获批广东省首个省市区三级共建商业秘密基地，获批国家知识产权信用体系唯一一个区县级重点推进地区，支撑知识产权价值实现。</w:t>
      </w:r>
      <w:r>
        <w:rPr>
          <w:rFonts w:ascii="仿宋_GB2312" w:hAnsi="仿宋_GB2312" w:eastAsia="仿宋_GB2312" w:cs="仿宋_GB2312"/>
          <w:sz w:val="32"/>
        </w:rPr>
        <w:t>2019年，南山区国内专利申请量69084件，占全市26.4%；授权量36600件，占全市22%，每万人发明专利拥有量达到397件；PCT国际专利申请量7351件，占全市42.1%。</w:t>
      </w:r>
    </w:p>
    <w:p>
      <w:pPr>
        <w:snapToGrid w:val="0"/>
        <w:spacing w:beforeLines="100" w:line="560" w:lineRule="exact"/>
        <w:ind w:firstLine="640" w:firstLineChars="200"/>
        <w:rPr>
          <w:rFonts w:ascii="仿宋_GB2312" w:hAnsi="Times New Roman" w:eastAsia="仿宋_GB2312" w:cs="仿宋_GB2312"/>
          <w:kern w:val="0"/>
          <w:sz w:val="32"/>
          <w:szCs w:val="32"/>
          <w:lang w:val="zh-CN"/>
        </w:rPr>
      </w:pPr>
      <w:r>
        <w:rPr>
          <w:rFonts w:hint="eastAsia" w:ascii="仿宋_GB2312" w:hAnsi="仿宋_GB2312" w:eastAsia="仿宋_GB2312" w:cs="仿宋_GB2312"/>
          <w:sz w:val="32"/>
        </w:rPr>
        <w:t>当前，南山已成为一株科技创新的“蒲公英”，把种子撒向了整个粤港澳大湾区，服务国家战略，实现自身发展。未来，在全面建成小康社会道路上，南山区将继续以创新发展引领时代潮流，以创新发展服务发展大局，坚持把人才作为引领科技创新的核心要素，把核心技术突破作为科技创新的主攻方向，充分发挥市场在创新资源配置中的决定性作用，以全球视野谋划和推动科技创新，为决胜全面建成小康社会，实现中华民族伟大复兴，贡献“南山力量”。</w:t>
      </w:r>
    </w:p>
    <w:sectPr>
      <w:footerReference r:id="rId3" w:type="default"/>
      <w:pgSz w:w="11906" w:h="16838"/>
      <w:pgMar w:top="1474" w:right="1474" w:bottom="1474" w:left="147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16" w:usb3="00000000" w:csb0="0004000F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940342128"/>
    </w:sdtPr>
    <w:sdtEndPr>
      <w:rPr>
        <w:rFonts w:hint="eastAsia" w:ascii="宋体" w:hAnsi="宋体" w:eastAsia="宋体" w:cs="宋体"/>
        <w:sz w:val="28"/>
        <w:szCs w:val="28"/>
      </w:rPr>
    </w:sdtEndPr>
    <w:sdtContent>
      <w:p>
        <w:pPr>
          <w:pStyle w:val="6"/>
          <w:jc w:val="center"/>
          <w:rPr>
            <w:rFonts w:ascii="宋体" w:hAnsi="宋体" w:eastAsia="宋体" w:cs="宋体"/>
            <w:sz w:val="28"/>
            <w:szCs w:val="28"/>
          </w:rPr>
        </w:pPr>
        <w:r>
          <w:rPr>
            <w:rFonts w:hint="eastAsia" w:ascii="宋体" w:hAnsi="宋体" w:eastAsia="宋体" w:cs="宋体"/>
            <w:sz w:val="28"/>
            <w:szCs w:val="28"/>
          </w:rPr>
          <w:fldChar w:fldCharType="begin"/>
        </w:r>
        <w:r>
          <w:rPr>
            <w:rFonts w:hint="eastAsia" w:ascii="宋体" w:hAnsi="宋体" w:eastAsia="宋体" w:cs="宋体"/>
            <w:sz w:val="28"/>
            <w:szCs w:val="28"/>
          </w:rPr>
          <w:instrText xml:space="preserve">PAGE   \* MERGEFORMAT</w:instrText>
        </w:r>
        <w:r>
          <w:rPr>
            <w:rFonts w:hint="eastAsia" w:ascii="宋体" w:hAnsi="宋体" w:eastAsia="宋体" w:cs="宋体"/>
            <w:sz w:val="28"/>
            <w:szCs w:val="28"/>
          </w:rPr>
          <w:fldChar w:fldCharType="separate"/>
        </w:r>
        <w:r>
          <w:rPr>
            <w:rFonts w:ascii="宋体" w:hAnsi="宋体" w:eastAsia="宋体" w:cs="宋体"/>
            <w:sz w:val="28"/>
            <w:szCs w:val="28"/>
            <w:lang w:val="zh-CN"/>
          </w:rPr>
          <w:t>7</w:t>
        </w:r>
        <w:r>
          <w:rPr>
            <w:rFonts w:hint="eastAsia" w:ascii="宋体" w:hAnsi="宋体" w:eastAsia="宋体" w:cs="宋体"/>
            <w:sz w:val="28"/>
            <w:szCs w:val="28"/>
          </w:rPr>
          <w:fldChar w:fldCharType="end"/>
        </w:r>
      </w:p>
    </w:sdtContent>
  </w:sdt>
  <w:p>
    <w:pPr>
      <w:pStyle w:val="6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F20C03"/>
    <w:rsid w:val="00052078"/>
    <w:rsid w:val="00097232"/>
    <w:rsid w:val="000C785E"/>
    <w:rsid w:val="000E09CC"/>
    <w:rsid w:val="00100570"/>
    <w:rsid w:val="00151BDF"/>
    <w:rsid w:val="001661ED"/>
    <w:rsid w:val="00194C4A"/>
    <w:rsid w:val="001C24A1"/>
    <w:rsid w:val="001E76A9"/>
    <w:rsid w:val="001F7B23"/>
    <w:rsid w:val="00200DD6"/>
    <w:rsid w:val="002229A1"/>
    <w:rsid w:val="002306D7"/>
    <w:rsid w:val="002521EA"/>
    <w:rsid w:val="00256E1F"/>
    <w:rsid w:val="00267387"/>
    <w:rsid w:val="00271ECD"/>
    <w:rsid w:val="00283D0E"/>
    <w:rsid w:val="00294E11"/>
    <w:rsid w:val="002B2443"/>
    <w:rsid w:val="002B678E"/>
    <w:rsid w:val="002C491D"/>
    <w:rsid w:val="003158DD"/>
    <w:rsid w:val="00315FCD"/>
    <w:rsid w:val="003252DE"/>
    <w:rsid w:val="00330FB4"/>
    <w:rsid w:val="003326F4"/>
    <w:rsid w:val="00343B10"/>
    <w:rsid w:val="00366447"/>
    <w:rsid w:val="003A696D"/>
    <w:rsid w:val="003B3E35"/>
    <w:rsid w:val="003C7E16"/>
    <w:rsid w:val="003F1812"/>
    <w:rsid w:val="003F1EA1"/>
    <w:rsid w:val="003F2CF4"/>
    <w:rsid w:val="004015EC"/>
    <w:rsid w:val="00442487"/>
    <w:rsid w:val="004640D6"/>
    <w:rsid w:val="00484416"/>
    <w:rsid w:val="00495A4F"/>
    <w:rsid w:val="004A7C46"/>
    <w:rsid w:val="004C2807"/>
    <w:rsid w:val="004D0F63"/>
    <w:rsid w:val="004D3FE3"/>
    <w:rsid w:val="004F090B"/>
    <w:rsid w:val="00514DB9"/>
    <w:rsid w:val="00544266"/>
    <w:rsid w:val="00585427"/>
    <w:rsid w:val="00592B94"/>
    <w:rsid w:val="005A0E71"/>
    <w:rsid w:val="005A6604"/>
    <w:rsid w:val="005A7B2F"/>
    <w:rsid w:val="005E7464"/>
    <w:rsid w:val="00630674"/>
    <w:rsid w:val="00645C00"/>
    <w:rsid w:val="006466BD"/>
    <w:rsid w:val="006468AD"/>
    <w:rsid w:val="006548A7"/>
    <w:rsid w:val="0068027C"/>
    <w:rsid w:val="00690AD7"/>
    <w:rsid w:val="006C1306"/>
    <w:rsid w:val="006C6030"/>
    <w:rsid w:val="006D5E92"/>
    <w:rsid w:val="006F6FEA"/>
    <w:rsid w:val="0072366E"/>
    <w:rsid w:val="00724CB4"/>
    <w:rsid w:val="00732E3A"/>
    <w:rsid w:val="00734AE9"/>
    <w:rsid w:val="007863AA"/>
    <w:rsid w:val="0079206A"/>
    <w:rsid w:val="007C305B"/>
    <w:rsid w:val="007C6B9D"/>
    <w:rsid w:val="007E1C2C"/>
    <w:rsid w:val="007E6B50"/>
    <w:rsid w:val="007F4CB2"/>
    <w:rsid w:val="00811C0C"/>
    <w:rsid w:val="00820C8C"/>
    <w:rsid w:val="00823101"/>
    <w:rsid w:val="008374E7"/>
    <w:rsid w:val="00840A88"/>
    <w:rsid w:val="00845611"/>
    <w:rsid w:val="00845A39"/>
    <w:rsid w:val="0085577C"/>
    <w:rsid w:val="00857DEA"/>
    <w:rsid w:val="008704DC"/>
    <w:rsid w:val="00874CF3"/>
    <w:rsid w:val="00877816"/>
    <w:rsid w:val="008821DC"/>
    <w:rsid w:val="0088711B"/>
    <w:rsid w:val="008A0288"/>
    <w:rsid w:val="008A31BD"/>
    <w:rsid w:val="008C1F51"/>
    <w:rsid w:val="008D16A3"/>
    <w:rsid w:val="008D2411"/>
    <w:rsid w:val="008D4DFD"/>
    <w:rsid w:val="008E3068"/>
    <w:rsid w:val="008F0467"/>
    <w:rsid w:val="008F0A5B"/>
    <w:rsid w:val="00914837"/>
    <w:rsid w:val="0093277F"/>
    <w:rsid w:val="00936063"/>
    <w:rsid w:val="009517D3"/>
    <w:rsid w:val="009A18FE"/>
    <w:rsid w:val="009C5908"/>
    <w:rsid w:val="009D3A7E"/>
    <w:rsid w:val="009D5B39"/>
    <w:rsid w:val="009E40A7"/>
    <w:rsid w:val="00A21B54"/>
    <w:rsid w:val="00A52B3F"/>
    <w:rsid w:val="00A61D38"/>
    <w:rsid w:val="00A96AD3"/>
    <w:rsid w:val="00AA6154"/>
    <w:rsid w:val="00AB20B3"/>
    <w:rsid w:val="00AC16B9"/>
    <w:rsid w:val="00AC32B7"/>
    <w:rsid w:val="00AF0E44"/>
    <w:rsid w:val="00B2125F"/>
    <w:rsid w:val="00B56054"/>
    <w:rsid w:val="00B774FD"/>
    <w:rsid w:val="00B851FF"/>
    <w:rsid w:val="00B92D06"/>
    <w:rsid w:val="00B973E9"/>
    <w:rsid w:val="00BB7F3D"/>
    <w:rsid w:val="00BD67E3"/>
    <w:rsid w:val="00BE237E"/>
    <w:rsid w:val="00BE56B9"/>
    <w:rsid w:val="00BF445A"/>
    <w:rsid w:val="00BF48DE"/>
    <w:rsid w:val="00C42305"/>
    <w:rsid w:val="00C53A83"/>
    <w:rsid w:val="00C74E24"/>
    <w:rsid w:val="00CA5F4E"/>
    <w:rsid w:val="00CC182E"/>
    <w:rsid w:val="00D1286C"/>
    <w:rsid w:val="00D2667B"/>
    <w:rsid w:val="00D607EB"/>
    <w:rsid w:val="00D6376E"/>
    <w:rsid w:val="00D67267"/>
    <w:rsid w:val="00D97EC9"/>
    <w:rsid w:val="00DB7B74"/>
    <w:rsid w:val="00DC1BA6"/>
    <w:rsid w:val="00DD06A9"/>
    <w:rsid w:val="00DD2BB7"/>
    <w:rsid w:val="00DD3C4E"/>
    <w:rsid w:val="00DF5869"/>
    <w:rsid w:val="00DF671B"/>
    <w:rsid w:val="00E011C3"/>
    <w:rsid w:val="00E05850"/>
    <w:rsid w:val="00E12463"/>
    <w:rsid w:val="00E170C5"/>
    <w:rsid w:val="00E4216E"/>
    <w:rsid w:val="00E4479E"/>
    <w:rsid w:val="00E668B4"/>
    <w:rsid w:val="00E75A36"/>
    <w:rsid w:val="00E762AA"/>
    <w:rsid w:val="00ED5D82"/>
    <w:rsid w:val="00EF345C"/>
    <w:rsid w:val="00F04F0F"/>
    <w:rsid w:val="00F20C03"/>
    <w:rsid w:val="00F30346"/>
    <w:rsid w:val="00F42098"/>
    <w:rsid w:val="00F5025B"/>
    <w:rsid w:val="00F72376"/>
    <w:rsid w:val="00F7338E"/>
    <w:rsid w:val="00F805D2"/>
    <w:rsid w:val="00F92162"/>
    <w:rsid w:val="034B0F31"/>
    <w:rsid w:val="07111563"/>
    <w:rsid w:val="18B43632"/>
    <w:rsid w:val="1B710276"/>
    <w:rsid w:val="1DBD04FC"/>
    <w:rsid w:val="27AC430E"/>
    <w:rsid w:val="27EA30D6"/>
    <w:rsid w:val="61AF7E8E"/>
    <w:rsid w:val="72924914"/>
    <w:rsid w:val="778557F5"/>
    <w:rsid w:val="78790064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qFormat="1" w:unhideWhenUsed="0" w:uiPriority="0" w:semiHidden="0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uiPriority w:val="1"/>
  </w:style>
  <w:style w:type="table" w:default="1" w:styleId="9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NormalIndent"/>
    <w:basedOn w:val="1"/>
    <w:qFormat/>
    <w:uiPriority w:val="0"/>
    <w:pPr>
      <w:spacing w:line="240" w:lineRule="auto"/>
      <w:ind w:firstLine="420" w:firstLineChars="200"/>
      <w:jc w:val="both"/>
      <w:textAlignment w:val="baseline"/>
    </w:pPr>
    <w:rPr>
      <w:rFonts w:ascii="Calibri" w:hAnsi="Calibri" w:eastAsia="宋体"/>
      <w:kern w:val="2"/>
      <w:sz w:val="21"/>
      <w:szCs w:val="24"/>
      <w:lang w:val="en-US" w:eastAsia="zh-CN" w:bidi="ar-SA"/>
    </w:rPr>
  </w:style>
  <w:style w:type="paragraph" w:styleId="3">
    <w:name w:val="Body Text First Indent"/>
    <w:basedOn w:val="4"/>
    <w:link w:val="14"/>
    <w:qFormat/>
    <w:uiPriority w:val="0"/>
    <w:pPr>
      <w:ind w:firstLine="420" w:firstLineChars="100"/>
    </w:pPr>
    <w:rPr>
      <w:rFonts w:ascii="Calibri" w:hAnsi="Calibri" w:eastAsia="宋体" w:cs="Times New Roman"/>
    </w:rPr>
  </w:style>
  <w:style w:type="paragraph" w:styleId="4">
    <w:name w:val="Body Text"/>
    <w:basedOn w:val="1"/>
    <w:link w:val="13"/>
    <w:semiHidden/>
    <w:unhideWhenUsed/>
    <w:uiPriority w:val="99"/>
    <w:pPr>
      <w:spacing w:after="120"/>
    </w:pPr>
  </w:style>
  <w:style w:type="paragraph" w:styleId="5">
    <w:name w:val="Balloon Text"/>
    <w:basedOn w:val="1"/>
    <w:link w:val="15"/>
    <w:semiHidden/>
    <w:unhideWhenUsed/>
    <w:qFormat/>
    <w:uiPriority w:val="99"/>
    <w:rPr>
      <w:sz w:val="18"/>
      <w:szCs w:val="18"/>
    </w:rPr>
  </w:style>
  <w:style w:type="paragraph" w:styleId="6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0">
    <w:name w:val="页眉 Char"/>
    <w:basedOn w:val="8"/>
    <w:link w:val="7"/>
    <w:qFormat/>
    <w:uiPriority w:val="99"/>
    <w:rPr>
      <w:sz w:val="18"/>
      <w:szCs w:val="18"/>
    </w:rPr>
  </w:style>
  <w:style w:type="character" w:customStyle="1" w:styleId="11">
    <w:name w:val="页脚 Char"/>
    <w:basedOn w:val="8"/>
    <w:link w:val="6"/>
    <w:qFormat/>
    <w:uiPriority w:val="99"/>
    <w:rPr>
      <w:sz w:val="18"/>
      <w:szCs w:val="18"/>
    </w:rPr>
  </w:style>
  <w:style w:type="paragraph" w:styleId="12">
    <w:name w:val="List Paragraph"/>
    <w:basedOn w:val="1"/>
    <w:unhideWhenUsed/>
    <w:uiPriority w:val="99"/>
    <w:pPr>
      <w:ind w:firstLine="420" w:firstLineChars="200"/>
    </w:pPr>
  </w:style>
  <w:style w:type="character" w:customStyle="1" w:styleId="13">
    <w:name w:val="正文文本 Char"/>
    <w:basedOn w:val="8"/>
    <w:link w:val="4"/>
    <w:semiHidden/>
    <w:uiPriority w:val="99"/>
    <w:rPr>
      <w:kern w:val="2"/>
      <w:sz w:val="21"/>
      <w:szCs w:val="22"/>
    </w:rPr>
  </w:style>
  <w:style w:type="character" w:customStyle="1" w:styleId="14">
    <w:name w:val="正文首行缩进 Char"/>
    <w:basedOn w:val="13"/>
    <w:link w:val="3"/>
    <w:uiPriority w:val="0"/>
    <w:rPr>
      <w:rFonts w:ascii="Calibri" w:hAnsi="Calibri" w:eastAsia="宋体" w:cs="Times New Roman"/>
      <w:kern w:val="2"/>
      <w:sz w:val="21"/>
      <w:szCs w:val="22"/>
    </w:rPr>
  </w:style>
  <w:style w:type="character" w:customStyle="1" w:styleId="15">
    <w:name w:val="批注框文本 Char"/>
    <w:basedOn w:val="8"/>
    <w:link w:val="5"/>
    <w:semiHidden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3.jpeg"/><Relationship Id="rId7" Type="http://schemas.openxmlformats.org/officeDocument/2006/relationships/image" Target="media/image1.tiff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8</Pages>
  <Words>692</Words>
  <Characters>3949</Characters>
  <Lines>32</Lines>
  <Paragraphs>9</Paragraphs>
  <TotalTime>4</TotalTime>
  <ScaleCrop>false</ScaleCrop>
  <LinksUpToDate>false</LinksUpToDate>
  <CharactersWithSpaces>4632</CharactersWithSpaces>
  <Application>WPS Office_10.8.2.6990_F1E327BC-269C-435d-A152-05C5408002CA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2020-08-28T01:54:00Z</dcterms:created>
  <dc:creator>JST</dc:creator>
  <cp:lastModifiedBy>swxcb</cp:lastModifiedBy>
  <cp:lastPrinted>2020-08-28T02:27:00Z</cp:lastPrinted>
  <dcterms:modified xsi:type="dcterms:W3CDTF">2020-08-28T08:20:29Z</dcterms:modified>
  <cp:revision>19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2052-10.8.2.6990</vt:lpwstr>
  </property>
</Properties>
</file>