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万亩荷田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写小康大文章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——记南寨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村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发展莲藕产业脱贫奔康之路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中共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湛江市</w:t>
      </w:r>
      <w:r>
        <w:rPr>
          <w:rFonts w:hint="eastAsia" w:ascii="楷体_GB2312" w:hAnsi="楷体_GB2312" w:eastAsia="楷体_GB2312" w:cs="楷体_GB2312"/>
          <w:sz w:val="28"/>
          <w:szCs w:val="28"/>
        </w:rPr>
        <w:t>坡头区委宣传部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调研组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广东省湛江市坡头区乾塘镇南寨村，东临鉴江口，面积5平方公里，户籍人口6494人，总户数1426户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种藕、采莲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历史悠久，是著名的“乾塘莲藕”的主产地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党的十八大以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，南寨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认真贯彻习近平总书记关于“三农”工作的重要论述特别是关于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脱贫攻坚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的重要讲话精神，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聚焦优势、因地制宜，把产业引领作为脱贫攻坚的主要方向，着力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推动莲藕产业“接二连三”，大力发展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现代莲藕产业，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集种植、加工、展销、旅游于一体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莲藕产业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集群</w:t>
      </w:r>
      <w:r>
        <w:rPr>
          <w:rFonts w:hint="eastAsia" w:ascii="仿宋_GB2312" w:hAnsi="仿宋_GB2312" w:eastAsia="仿宋_GB2312" w:cs="仿宋_GB2312"/>
          <w:sz w:val="32"/>
          <w:szCs w:val="32"/>
        </w:rPr>
        <w:t>，唱响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“南寨荷香”品牌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带动了十里八乡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村民脱贫奔康，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乾塘镇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乃至坡头区全面建成小康社会作出了积极贡献。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南寨村入选首批“广东省文化和旅游特色村”。为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总结推广南寨村发展莲藕产业脱贫奔康</w:t>
      </w:r>
      <w:r>
        <w:rPr>
          <w:rFonts w:hint="eastAsia" w:ascii="仿宋_GB2312" w:hAnsi="仿宋_GB2312" w:eastAsia="仿宋_GB2312" w:cs="仿宋_GB2312"/>
          <w:sz w:val="32"/>
          <w:szCs w:val="32"/>
        </w:rPr>
        <w:t>的好经验好做法，近期，根据全面建成小康社会“百城千县万村”调研活动要求，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坡头区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委宣传部成立调研组深入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南寨村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深入调研。现将其经验做法总结报告如下：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优化农业产业结构，南寨莲藕唱主角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党中央实施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战略的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指引下，南寨村依托万亩生态荷田，积极完善水、电、路、渠等基础设施建设，合理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“藕-薯”轮种、“荷-虾”、“荷-鱼”混养等模式，加快构建现代莲藕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体系、生产体系和经营体系，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着力提升莲藕产业集约化规模化水平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一是发挥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莲藕产业合作社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的龙头带动作用。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为提升莲藕产业规模化水平，提升抗风险能力，早在</w:t>
      </w:r>
      <w:r>
        <w:rPr>
          <w:rFonts w:hint="eastAsia" w:ascii="仿宋_GB2312" w:hAnsi="仿宋_GB2312" w:eastAsia="仿宋_GB2312" w:cs="仿宋_GB2312"/>
          <w:sz w:val="32"/>
          <w:szCs w:val="32"/>
        </w:rPr>
        <w:t>2008年5月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南寨村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坡头区乾塘莲藕产业合作社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（以下简称“莲藕合作社”）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注册“乾塘”牌商标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辐射带动社员1000多户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参与种植人数3000多人，其中有280户贫困户参与种植，人均年收入18000元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，有效帮扶贫困人口脱贫奔康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“莲藕合作社”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种植面积1.3万亩，年总产量12000吨、产值6000多万元。该社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2009年被广东省人民政府授予“广东省农业产业化工作先进集体”；2010年被评为“省级农民专业合作经济组织示范单位”；2015年被评为国家级农民合作社示范社。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二是致力打造一流莲藕产业园区。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从2008年成立投入的1080万资金起步，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“莲藕合作社”通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过加快土地、资本、科技、人才、信息等现代要素集聚，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整合周边村庄资源，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聚力打造产业化莲藕龙头企业、标准化莲藕种植生产基地、特色化莲藕文化旅游区，促进莲藕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、加工、物流、研发、服务等一二三产业相互融合和全产业链开发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。至今，“莲藕合作社”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及产业园总投资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</w:rPr>
        <w:t>5800万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初步建成了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粤西莲藕产业要素集聚区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广东省莲藕产业集聚发展示范区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注重调动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在莲藕产业发展中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积极性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为发挥群众在产业发展中的主体作用，“莲藕合作社”注重调动群众的积极性、尊重群众的意愿，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农户可以把自己种植的品质优良的莲藕自行高价卖给莲藕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收购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市场不好的时候，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“莲藕合作社”</w:t>
      </w:r>
      <w:r>
        <w:rPr>
          <w:rFonts w:hint="eastAsia" w:ascii="仿宋_GB2312" w:hAnsi="仿宋_GB2312" w:eastAsia="仿宋_GB2312" w:cs="仿宋_GB2312"/>
          <w:sz w:val="32"/>
          <w:szCs w:val="32"/>
        </w:rPr>
        <w:t>以保底价对农户的莲藕进行统一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收购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，最大程度保障农民的收益，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避免农户因藕贱致贫、返贫问题发生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拓宽现代农业功能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产业融合挑大梁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为推动莲藕产业融合发展和做大做强，南寨村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坚持做优一产、做大二产、做强三产，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形成了科研、生产、加工、交易、科技、管理相互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的莲藕产业链。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种植方面，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不断优化莲藕品种，逐渐形成了以鄂莲6号、新红芽1号、新红芽2号等为主导品种的优势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2017年以来，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“莲藕合作社”为核心的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莲藕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产业园区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种植面积稳定在3万亩以上，产量与产值均居全省第一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加工方面，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已开发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莲藕粉、莲藕丝等莲藕深加工产品，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建成2条现代化莲藕深加工生产线，现有厂房面积4000平方米，实验室100平方米，培训室280平方米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年加工莲藕超1.2万吨</w:t>
      </w:r>
      <w:r>
        <w:rPr>
          <w:rFonts w:hint="eastAsia" w:ascii="仿宋_GB2312" w:hAnsi="仿宋_GB2312" w:eastAsia="仿宋_GB2312" w:cs="仿宋_GB2312"/>
          <w:sz w:val="32"/>
          <w:szCs w:val="32"/>
        </w:rPr>
        <w:t>，解决就业人数1030人。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在提升莲藕产业附加值的同时，有效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贱</w:t>
      </w:r>
      <w:r>
        <w:rPr>
          <w:rFonts w:hint="eastAsia" w:ascii="仿宋_GB2312" w:hAnsi="仿宋_GB2312" w:eastAsia="仿宋_GB2312" w:cs="仿宋_GB2312"/>
          <w:sz w:val="32"/>
          <w:szCs w:val="32"/>
        </w:rPr>
        <w:t>伤农，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带动产业持续集聚升级发展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在品牌方面，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积极培育特色产品和知名品牌，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打造了与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莲藕产业相关的绿色农产品7个，名特新优产品2个，省名牌农产品6个。同时，不断扩大推动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莲藕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产业园健康发展的“朋友圈”，积极引导媒体、专家、公众、社会组织等各方面参与，在更大范围、更广领域汇聚推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莲藕产业高精强发展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的强大正能量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做强地域产业特色，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擦亮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荷香金招牌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随着莲藕一二三产业加快融合发展，乾塘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莲藕品牌逐步打响。对此，南寨村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因势利导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，以万亩荷花世界为依托，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乾塘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莲藕为主题的</w:t>
      </w:r>
      <w:r>
        <w:rPr>
          <w:rFonts w:hint="eastAsia" w:ascii="仿宋_GB2312" w:hAnsi="仿宋_GB2312" w:eastAsia="仿宋_GB2312" w:cs="仿宋_GB2312"/>
          <w:sz w:val="32"/>
          <w:szCs w:val="32"/>
        </w:rPr>
        <w:t>休闲观光农业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一方面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以湛江市乡土农业有限公司为主体，依托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莲藕合作社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现有技术，建设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太空农博园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项目，重点推进农科教、产学研大联合。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太空农博园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占地面积5000平米，投资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2000万元，结合5G智慧农业技术，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航天科技成果与农业农事相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融合，建设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现代化莲藕生产的科技引领区和展示示范基地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为市民、游客、农户打造一个农业科教体验中心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以科技助力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莲藕产业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提速增效。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另一方面，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连续举办五届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“乾塘</w:t>
      </w:r>
      <w:r>
        <w:rPr>
          <w:rFonts w:hint="eastAsia" w:ascii="仿宋_GB2312" w:hAnsi="仿宋_GB2312" w:eastAsia="仿宋_GB2312" w:cs="仿宋_GB2312"/>
          <w:sz w:val="32"/>
          <w:szCs w:val="32"/>
        </w:rPr>
        <w:t>荷花节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社区形象店体验、工厂参观游等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每届荷花节人流量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均超</w:t>
      </w:r>
      <w:r>
        <w:rPr>
          <w:rFonts w:hint="eastAsia" w:ascii="仿宋_GB2312" w:hAnsi="仿宋_GB2312" w:eastAsia="仿宋_GB2312" w:cs="仿宋_GB2312"/>
          <w:sz w:val="32"/>
          <w:szCs w:val="32"/>
        </w:rPr>
        <w:t>30万人次，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有效带动了周边餐饮等服务业发展。同时，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南寨村为核心，整合周边的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滨海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旅游资源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和原生态农耕资源，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一批骑行观光、休闲驿站和文化体验项目，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打造集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荷花观赏、采莲体验、生态渔村等一体化融合发展的乡村旅游主题线路，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擦亮乾塘荷花旅游品牌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四、实施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联农带农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惠农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勇当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脱贫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排头兵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通过发展现代莲藕产业，南寨村逐步建立了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农业龙头企业、农民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合作社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分工协作、资源要素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利益共享机制，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在村集体经济不断壮大的同时，还带动了周边村民特别是贫困户脱贫奔小康。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一是完善利益链，积极发挥联农带农惠农作用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。以“园区+合作社+农户”模式，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合作社和龙头企业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在产工销各环节紧密联系农户，共建共享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不断增强产业发展带动农民增收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。以合作社为基础，提供“四统一服务”，即:统一供应藕种、统一供应肥料、统一管养技术指导、统一收购，提供耕种收等各环节服务。通过统一服务，万亩莲藕种植节省种苗、肥料费用近450万元。种苗订购上，统一订购每亩种苗可便宜800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两造种苗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节省160万元。从工厂定购有机肥料，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统一订购</w:t>
      </w:r>
      <w:r>
        <w:rPr>
          <w:rFonts w:hint="eastAsia" w:ascii="仿宋_GB2312" w:hAnsi="仿宋_GB2312" w:eastAsia="仿宋_GB2312" w:cs="仿宋_GB2312"/>
          <w:sz w:val="32"/>
          <w:szCs w:val="32"/>
        </w:rPr>
        <w:t>一吨可省400元，两造可节省肥料近280万元。收购上，合作社以保底价进行统一采收，最大化保障了农户的收入，规避了市场风险，给农户吃下了定心丸。目前，合作社联结带动了1000户社员实现亩平均收益近万元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合作社成员普遍比生产同类产品的非成员增收20%左右。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优化服务保障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多措并举促进农民增收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生产过程中，合作社通过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种苗、技术等服务，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不断提升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农民莲藕种植技术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，莲藕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产量从2000公斤/亩提升到2200公斤/亩以上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时组建农机社会化服务团队，为农户提供无人机喷药、高压喷枪采收、土地翻耕等服务，节省农民劳动成本。产后销售渠道上，以订单收购和保价合同收购，农民种植莲藕平均收入高于种植其他农作物收入2倍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三是合作多赢，助力脱贫攻坚奔小康。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合作社积极承担起当地的扶贫工作任务，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大力实施产业扶贫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除了引导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280户贫困户参与种植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莲藕外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以财政扶贫资金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入股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，每年以10%的收益作为分红返还贫困户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，增加贫困户收益，也缓解合作社融资困难，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实现了政府、合作社、贫困户三方多赢。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同时，通过建立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莲藕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加工生产线，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贫困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250余人，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劳务收益月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达3000元以上。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实证证明，在党中央实施乡村振兴战略的指引下，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南寨村立足自身特色产业优势，因地制宜、因势利导，大力发展现代农业，走出了一条了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企业、农民专业合作社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农户风险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共担、利益共享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、脱贫致富奔小康的新路子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调研组成员：吴建文、井君艳、刘旺、周智学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824543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33FE"/>
    <w:rsid w:val="0004211D"/>
    <w:rsid w:val="00044DED"/>
    <w:rsid w:val="001C34A6"/>
    <w:rsid w:val="00361728"/>
    <w:rsid w:val="00380ED4"/>
    <w:rsid w:val="003C33FE"/>
    <w:rsid w:val="003F3CA5"/>
    <w:rsid w:val="00483DB3"/>
    <w:rsid w:val="00586643"/>
    <w:rsid w:val="00587DF8"/>
    <w:rsid w:val="005C59C0"/>
    <w:rsid w:val="00672023"/>
    <w:rsid w:val="006762DE"/>
    <w:rsid w:val="006E1DF1"/>
    <w:rsid w:val="00703B2E"/>
    <w:rsid w:val="007C7D2E"/>
    <w:rsid w:val="00930DA1"/>
    <w:rsid w:val="00AE7AA4"/>
    <w:rsid w:val="00DA361C"/>
    <w:rsid w:val="00DF22D5"/>
    <w:rsid w:val="00DF2C69"/>
    <w:rsid w:val="00EC502E"/>
    <w:rsid w:val="00FE7881"/>
    <w:rsid w:val="04843AC3"/>
    <w:rsid w:val="08306C8F"/>
    <w:rsid w:val="084E61D7"/>
    <w:rsid w:val="0DF43B06"/>
    <w:rsid w:val="0ED77DD5"/>
    <w:rsid w:val="10A602EC"/>
    <w:rsid w:val="12834AF8"/>
    <w:rsid w:val="13E71400"/>
    <w:rsid w:val="141704E3"/>
    <w:rsid w:val="152A4A46"/>
    <w:rsid w:val="1602224F"/>
    <w:rsid w:val="17364427"/>
    <w:rsid w:val="1FA27F72"/>
    <w:rsid w:val="23853A9D"/>
    <w:rsid w:val="2AC06A00"/>
    <w:rsid w:val="30482520"/>
    <w:rsid w:val="3B3A765D"/>
    <w:rsid w:val="3B5346A9"/>
    <w:rsid w:val="3DFC28AA"/>
    <w:rsid w:val="42A8559C"/>
    <w:rsid w:val="449B6639"/>
    <w:rsid w:val="469D245D"/>
    <w:rsid w:val="48441A43"/>
    <w:rsid w:val="48663BC7"/>
    <w:rsid w:val="4D3670BE"/>
    <w:rsid w:val="4D6D496F"/>
    <w:rsid w:val="4E9E106B"/>
    <w:rsid w:val="512D2DB4"/>
    <w:rsid w:val="53CD16B0"/>
    <w:rsid w:val="56EC16D0"/>
    <w:rsid w:val="591B0DCB"/>
    <w:rsid w:val="5C6B0BB3"/>
    <w:rsid w:val="5CC67A2C"/>
    <w:rsid w:val="5DC125CF"/>
    <w:rsid w:val="5DF20CF4"/>
    <w:rsid w:val="5FF520A6"/>
    <w:rsid w:val="62101B0D"/>
    <w:rsid w:val="646448B3"/>
    <w:rsid w:val="6BBA41B1"/>
    <w:rsid w:val="7315282D"/>
    <w:rsid w:val="75106F8A"/>
    <w:rsid w:val="777623F2"/>
    <w:rsid w:val="78196ECC"/>
    <w:rsid w:val="78913741"/>
    <w:rsid w:val="797E65C6"/>
    <w:rsid w:val="7A11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198AA-A035-4D03-A267-EFADC311F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624</Words>
  <Characters>3560</Characters>
  <Lines>29</Lines>
  <Paragraphs>8</Paragraphs>
  <TotalTime>3</TotalTime>
  <ScaleCrop>false</ScaleCrop>
  <LinksUpToDate>false</LinksUpToDate>
  <CharactersWithSpaces>4176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2020-08-14T10:04:00Z</dcterms:created>
  <dc:creator>AutoBVT</dc:creator>
  <cp:lastModifiedBy>Administrator</cp:lastModifiedBy>
  <cp:lastPrinted>2020-08-21T03:43:00Z</cp:lastPrinted>
  <dcterms:modified xsi:type="dcterms:W3CDTF">2020-08-25T09:35:43Z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